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E92F" w14:textId="1D497F9D" w:rsidR="00797B56" w:rsidRDefault="00427359">
      <w:r>
        <w:t>May 28</w:t>
      </w:r>
      <w:r w:rsidR="0017045E">
        <w:t>, 2026</w:t>
      </w:r>
    </w:p>
    <w:p w14:paraId="6CC05A76" w14:textId="77777777" w:rsidR="0017045E" w:rsidRDefault="0017045E"/>
    <w:p w14:paraId="0EFDFD69" w14:textId="6FA9C792" w:rsidR="0017045E" w:rsidRDefault="00427359">
      <w:r>
        <w:t>Dear Colleagues</w:t>
      </w:r>
      <w:r w:rsidR="00E54CE3">
        <w:t>—</w:t>
      </w:r>
    </w:p>
    <w:p w14:paraId="6CA85155" w14:textId="77777777" w:rsidR="0017045E" w:rsidRDefault="0017045E"/>
    <w:p w14:paraId="06734731" w14:textId="78BEBACE" w:rsidR="00DA6F0F" w:rsidRDefault="0017045E" w:rsidP="00E54CE3">
      <w:r>
        <w:t xml:space="preserve">This is a </w:t>
      </w:r>
      <w:r w:rsidR="007E36CB">
        <w:t>short</w:t>
      </w:r>
      <w:r>
        <w:t xml:space="preserve"> overview of a new project that explores why, </w:t>
      </w:r>
      <w:proofErr w:type="gramStart"/>
      <w:r>
        <w:t>in spite of</w:t>
      </w:r>
      <w:proofErr w:type="gramEnd"/>
      <w:r>
        <w:t xml:space="preserve"> FDA </w:t>
      </w:r>
      <w:r w:rsidR="00427359">
        <w:t>gatekeeping</w:t>
      </w:r>
      <w:r>
        <w:t xml:space="preserve"> of drugs, biologics, and medical devices, events in which </w:t>
      </w:r>
      <w:r w:rsidR="001F32DE">
        <w:t xml:space="preserve">a number of these products injure and kill large numbers of people continue to occur. </w:t>
      </w:r>
      <w:r>
        <w:t xml:space="preserve">This is particularly troubling because similar events in the early to </w:t>
      </w:r>
      <w:r w:rsidR="00675146">
        <w:t>mid-20</w:t>
      </w:r>
      <w:r w:rsidR="00675146" w:rsidRPr="0017045E">
        <w:rPr>
          <w:vertAlign w:val="superscript"/>
        </w:rPr>
        <w:t>th</w:t>
      </w:r>
      <w:r>
        <w:t xml:space="preserve"> century are thought to have provided the impetus for Congress to </w:t>
      </w:r>
      <w:r w:rsidR="00A778CC">
        <w:t xml:space="preserve">enact </w:t>
      </w:r>
      <w:r w:rsidR="00675146">
        <w:t>major</w:t>
      </w:r>
      <w:r w:rsidR="00A778CC">
        <w:t xml:space="preserve"> legislation</w:t>
      </w:r>
      <w:r w:rsidR="00675146">
        <w:t xml:space="preserve"> (in 1902, 1906, 1938, 1962, and 1976)</w:t>
      </w:r>
      <w:r w:rsidR="00A778CC">
        <w:t xml:space="preserve"> that </w:t>
      </w:r>
      <w:r w:rsidR="00427359">
        <w:t>created the</w:t>
      </w:r>
      <w:r w:rsidR="00A778CC">
        <w:t xml:space="preserve"> </w:t>
      </w:r>
      <w:r w:rsidR="009B521E">
        <w:t>FDA</w:t>
      </w:r>
      <w:r w:rsidR="00A778CC">
        <w:t xml:space="preserve"> </w:t>
      </w:r>
      <w:r w:rsidR="00427359">
        <w:t xml:space="preserve">gatekeeping model </w:t>
      </w:r>
      <w:proofErr w:type="gramStart"/>
      <w:r w:rsidR="00427359">
        <w:t>in order</w:t>
      </w:r>
      <w:r w:rsidR="00A778CC">
        <w:t xml:space="preserve"> </w:t>
      </w:r>
      <w:r w:rsidR="009B521E">
        <w:t>to</w:t>
      </w:r>
      <w:proofErr w:type="gramEnd"/>
      <w:r w:rsidR="009B521E">
        <w:t xml:space="preserve"> prevent</w:t>
      </w:r>
      <w:r w:rsidR="00A778CC">
        <w:t xml:space="preserve"> just such events. </w:t>
      </w:r>
      <w:r w:rsidR="009B521E">
        <w:t xml:space="preserve"> My basic idea is that a big part of the problem is that regulation </w:t>
      </w:r>
      <w:r w:rsidR="00427359">
        <w:t>that largely relies</w:t>
      </w:r>
      <w:r w:rsidR="009B521E">
        <w:t xml:space="preserve"> on a single </w:t>
      </w:r>
      <w:r w:rsidR="00E54CE3">
        <w:t xml:space="preserve">gatekeeper </w:t>
      </w:r>
      <w:r w:rsidR="009B521E">
        <w:t xml:space="preserve">misses many potential intervention points on the road from the earliest conception of a product to its ultimate widespread use in clinical practice. I think this </w:t>
      </w:r>
      <w:r w:rsidR="00427359">
        <w:t>project</w:t>
      </w:r>
      <w:r w:rsidR="001F32DE">
        <w:t xml:space="preserve"> </w:t>
      </w:r>
      <w:r w:rsidR="009B521E">
        <w:t xml:space="preserve">is timely, given that the ability of the FDA to ensure product safety is being compromised to the point that the last FDA commissioner, Robert Califf, has written that “the FDA as we know it is finished.” </w:t>
      </w:r>
      <w:r w:rsidR="00427359">
        <w:t xml:space="preserve">Hopefully, a few years from now we will be </w:t>
      </w:r>
      <w:proofErr w:type="gramStart"/>
      <w:r w:rsidR="00427359">
        <w:t>in a position</w:t>
      </w:r>
      <w:proofErr w:type="gramEnd"/>
      <w:r w:rsidR="00427359">
        <w:t xml:space="preserve"> to begin rebuilding. But rebuilding what we had up to January 20, </w:t>
      </w:r>
      <w:proofErr w:type="gramStart"/>
      <w:r w:rsidR="00427359">
        <w:t>2025</w:t>
      </w:r>
      <w:proofErr w:type="gramEnd"/>
      <w:r w:rsidR="00427359">
        <w:t xml:space="preserve"> won’t be enough. </w:t>
      </w:r>
      <w:r w:rsidR="001F32DE">
        <w:t xml:space="preserve">We are going to need to find </w:t>
      </w:r>
      <w:r w:rsidR="00427359">
        <w:t>new</w:t>
      </w:r>
      <w:r w:rsidR="001F32DE">
        <w:t xml:space="preserve"> solutions.</w:t>
      </w:r>
    </w:p>
    <w:p w14:paraId="6E9C4F09" w14:textId="77777777" w:rsidR="009B521E" w:rsidRDefault="009B521E"/>
    <w:p w14:paraId="40C4E0AD" w14:textId="16489DC0" w:rsidR="00506080" w:rsidRDefault="009B521E">
      <w:r>
        <w:t xml:space="preserve">I’ve </w:t>
      </w:r>
      <w:proofErr w:type="gramStart"/>
      <w:r>
        <w:t>appended</w:t>
      </w:r>
      <w:proofErr w:type="gramEnd"/>
      <w:r>
        <w:t xml:space="preserve"> a discussion of one of the early 20</w:t>
      </w:r>
      <w:r w:rsidRPr="009B521E">
        <w:rPr>
          <w:vertAlign w:val="superscript"/>
        </w:rPr>
        <w:t>th</w:t>
      </w:r>
      <w:r>
        <w:t xml:space="preserve"> century events, to give some idea of the kind of analysis I envision. </w:t>
      </w:r>
      <w:r w:rsidR="0024194A">
        <w:t>Lots of science and social context, if you’re curious.</w:t>
      </w:r>
      <w:r w:rsidR="00E54CE3">
        <w:t xml:space="preserve"> This submission is presented as though the work will end up as a law review article, but I’m thinking that this might be a book project.</w:t>
      </w:r>
    </w:p>
    <w:p w14:paraId="18AA6DB8" w14:textId="77777777" w:rsidR="001F32DE" w:rsidRDefault="001F32DE"/>
    <w:p w14:paraId="76899CE8" w14:textId="5261C94F" w:rsidR="001F32DE" w:rsidRDefault="001F32DE">
      <w:r>
        <w:t>Best,</w:t>
      </w:r>
    </w:p>
    <w:p w14:paraId="18FEDAFA" w14:textId="77777777" w:rsidR="00506080" w:rsidRDefault="00506080"/>
    <w:p w14:paraId="14F8928B" w14:textId="7D7790C9" w:rsidR="001F32DE" w:rsidRDefault="001F32DE">
      <w:r>
        <w:t>George</w:t>
      </w:r>
    </w:p>
    <w:p w14:paraId="12355611" w14:textId="77777777" w:rsidR="001F32DE" w:rsidRDefault="001F32DE"/>
    <w:p w14:paraId="5BE91DA9" w14:textId="77777777" w:rsidR="00506080" w:rsidRDefault="00506080"/>
    <w:p w14:paraId="12C492F6" w14:textId="77777777" w:rsidR="005F2283" w:rsidRDefault="005F2283"/>
    <w:p w14:paraId="224D3B08" w14:textId="77777777" w:rsidR="005F2283" w:rsidRDefault="005F2283"/>
    <w:p w14:paraId="77F43CF8" w14:textId="77777777" w:rsidR="005F2283" w:rsidRDefault="005F2283"/>
    <w:p w14:paraId="2F384EFB" w14:textId="77777777" w:rsidR="005F2283" w:rsidRDefault="005F2283"/>
    <w:p w14:paraId="4C71638C" w14:textId="77777777" w:rsidR="005F2283" w:rsidRDefault="005F2283"/>
    <w:p w14:paraId="14971D3C" w14:textId="77777777" w:rsidR="005F2283" w:rsidRDefault="005F2283"/>
    <w:p w14:paraId="0BD9B83D" w14:textId="77777777" w:rsidR="005F2283" w:rsidRDefault="005F2283"/>
    <w:p w14:paraId="03070F0C" w14:textId="77777777" w:rsidR="005F2283" w:rsidRDefault="005F2283"/>
    <w:p w14:paraId="5BC0E63F" w14:textId="77777777" w:rsidR="005F2283" w:rsidRDefault="005F2283"/>
    <w:p w14:paraId="50B97B25" w14:textId="77777777" w:rsidR="005F2283" w:rsidRDefault="005F2283"/>
    <w:p w14:paraId="43CFED56" w14:textId="77777777" w:rsidR="005F2283" w:rsidRDefault="005F2283"/>
    <w:p w14:paraId="10F4B989" w14:textId="77777777" w:rsidR="005F2283" w:rsidRDefault="005F2283"/>
    <w:p w14:paraId="6B065724" w14:textId="77777777" w:rsidR="005F2283" w:rsidRDefault="005F2283"/>
    <w:p w14:paraId="712B6FD0" w14:textId="77777777" w:rsidR="0017045E" w:rsidRDefault="0017045E"/>
    <w:p w14:paraId="0982202E" w14:textId="600EB24E" w:rsidR="001F32DE" w:rsidRPr="001F32DE" w:rsidRDefault="001F32DE" w:rsidP="001F32DE">
      <w:pPr>
        <w:jc w:val="center"/>
        <w:rPr>
          <w:caps/>
        </w:rPr>
      </w:pPr>
      <w:r w:rsidRPr="001F32DE">
        <w:rPr>
          <w:caps/>
        </w:rPr>
        <w:lastRenderedPageBreak/>
        <w:t>Understanding Regulatory Failure: Mass Harm Events in Modern Medicine</w:t>
      </w:r>
    </w:p>
    <w:p w14:paraId="453D7B9B" w14:textId="77777777" w:rsidR="0017045E" w:rsidRDefault="0017045E"/>
    <w:p w14:paraId="7EF952E4" w14:textId="77777777" w:rsidR="00FC3A15" w:rsidRDefault="00FC3A15"/>
    <w:p w14:paraId="565E37B1" w14:textId="3453822C" w:rsidR="002E2F43" w:rsidRDefault="002E2F43" w:rsidP="002E2F43">
      <w:pPr>
        <w:spacing w:after="120"/>
        <w:ind w:firstLine="720"/>
      </w:pPr>
      <w:r>
        <w:t xml:space="preserve">No one would have predicted the legacy they would leave. Bessie Baker and her sister May, Veronica Keenan, Jacob Centurio, Viola Baker, Nettie Kammerman, Agnes Adele Keenan and her sister Veronica, Emma Mary Ernst, [and four others]. What links them </w:t>
      </w:r>
      <w:r w:rsidR="00154B57">
        <w:t>together</w:t>
      </w:r>
      <w:r>
        <w:t xml:space="preserve"> </w:t>
      </w:r>
      <w:r w:rsidR="00154B57">
        <w:t>is</w:t>
      </w:r>
      <w:r>
        <w:t xml:space="preserve"> that they were all children </w:t>
      </w:r>
      <w:r w:rsidR="00154B57">
        <w:t>who</w:t>
      </w:r>
      <w:r>
        <w:t xml:space="preserve"> lived in St. Louis, Missouri. That </w:t>
      </w:r>
      <w:r w:rsidR="00154B57">
        <w:t>each</w:t>
      </w:r>
      <w:r>
        <w:t xml:space="preserve"> had contracted or been exposed to diphtheria. And that in November 1901, they all died from tetanus—lockjaw—</w:t>
      </w:r>
      <w:r w:rsidR="00154B57">
        <w:t>carried in</w:t>
      </w:r>
      <w:r>
        <w:t xml:space="preserve"> a contaminated batch of antiserum that their physicians had used to treat, or in some cases just to prevent, diphtheria. Their deaths, along with those of children in Camden, New Jersey</w:t>
      </w:r>
      <w:r w:rsidR="00154B57">
        <w:t xml:space="preserve"> at about the same time</w:t>
      </w:r>
      <w:r>
        <w:t xml:space="preserve">, also from tetanus (there, attributed to a contaminated smallpox vaccine), are commonly seen as the catalyst for the first statute that Congress passed, in 1902, that gave the federal government the </w:t>
      </w:r>
      <w:r w:rsidR="00154B57">
        <w:t xml:space="preserve">gatekeeping </w:t>
      </w:r>
      <w:r>
        <w:t>power to keep certain medical products from the U.S. market. This law marked the beginning of a decades-long process of expanding federal regulatory power over vaccines, antisera, drugs, devices and other medical products. The legacy of the children of 1901 was the most powerful and, for a time, the most widely admired federal administrative agency, the Food and Drug Administration, charged with the responsibility of preventing events like ones in late 1901.</w:t>
      </w:r>
    </w:p>
    <w:p w14:paraId="11A13FF1" w14:textId="54313A42" w:rsidR="00DA6F0F" w:rsidRDefault="002E2F43" w:rsidP="002E2F43">
      <w:pPr>
        <w:spacing w:after="120"/>
        <w:ind w:firstLine="720"/>
      </w:pPr>
      <w:r>
        <w:t>Just months after the deaths these 22 children in St. Louis and Camden,</w:t>
      </w:r>
      <w:r w:rsidR="00154B57">
        <w:t xml:space="preserve"> with minimal debate,</w:t>
      </w:r>
      <w:r>
        <w:t xml:space="preserve"> Congress passed and President Theodore Roosevelt signed the Biologics Act of 1902, creating the first mandatory premarket licensing program for vaccines, therapeutic sera, toxins, antitoxins, and related products (today a subset of </w:t>
      </w:r>
      <w:proofErr w:type="gramStart"/>
      <w:r>
        <w:t>federally-regulated</w:t>
      </w:r>
      <w:proofErr w:type="gramEnd"/>
      <w:r>
        <w:t xml:space="preserve"> biologic products). </w:t>
      </w:r>
      <w:r w:rsidR="00DA6F0F">
        <w:t>The broad structure of our modern-day regulatory system for medical products (drugs, biologics, and medical devices) is large</w:t>
      </w:r>
      <w:r w:rsidR="00AA298E">
        <w:t>ly</w:t>
      </w:r>
      <w:r w:rsidR="00DA6F0F">
        <w:t xml:space="preserve"> the result of reactive, piecemeal expansions of federal authority in the wake of mass harm events</w:t>
      </w:r>
      <w:r>
        <w:t xml:space="preserve"> like these</w:t>
      </w:r>
      <w:r w:rsidR="00DA6F0F">
        <w:t>.</w:t>
      </w:r>
      <w:r w:rsidR="003B47E4">
        <w:rPr>
          <w:rStyle w:val="FootnoteReference"/>
        </w:rPr>
        <w:footnoteReference w:id="1"/>
      </w:r>
      <w:r w:rsidR="00DA6F0F">
        <w:t xml:space="preserve"> Congress created the first premarket requirements for safety data for new drugs in the Food, Drug, and Cosmetics Act in 1938 after more than 100 people died after taking an untested formulation of </w:t>
      </w:r>
      <w:r w:rsidR="0005347F">
        <w:t xml:space="preserve">a sulfa drug. And it created the first premarket approval processes for medical devices in the Medical Device Amendments in 1976 after thousands of </w:t>
      </w:r>
      <w:r w:rsidR="00154B57">
        <w:t>women suffered</w:t>
      </w:r>
      <w:r w:rsidR="003B1EEE">
        <w:t xml:space="preserve"> pelvic inflammatory disease, sterility, and death </w:t>
      </w:r>
      <w:r w:rsidR="00154B57">
        <w:t>cause by</w:t>
      </w:r>
      <w:r w:rsidR="003B1EEE">
        <w:t xml:space="preserve"> </w:t>
      </w:r>
      <w:r w:rsidR="00AA298E">
        <w:t xml:space="preserve">the </w:t>
      </w:r>
      <w:proofErr w:type="spellStart"/>
      <w:r w:rsidR="00AA298E">
        <w:t>Dalkon</w:t>
      </w:r>
      <w:proofErr w:type="spellEnd"/>
      <w:r w:rsidR="00AA298E">
        <w:t xml:space="preserve"> Shield, </w:t>
      </w:r>
      <w:r w:rsidR="003B1EEE">
        <w:t>an untested intrauterine device.</w:t>
      </w:r>
      <w:r w:rsidR="00897E10">
        <w:rPr>
          <w:rStyle w:val="FootnoteReference"/>
        </w:rPr>
        <w:footnoteReference w:id="2"/>
      </w:r>
      <w:r w:rsidR="003B1EEE">
        <w:t xml:space="preserve"> </w:t>
      </w:r>
      <w:r w:rsidR="005F2283">
        <w:t>As a result of these and other legislative acts</w:t>
      </w:r>
      <w:r w:rsidR="003B1EEE">
        <w:t xml:space="preserve">, </w:t>
      </w:r>
      <w:r w:rsidR="005F2283">
        <w:t xml:space="preserve">the </w:t>
      </w:r>
      <w:r w:rsidR="00154B57">
        <w:t>FDA</w:t>
      </w:r>
      <w:r w:rsidR="005F2283">
        <w:t xml:space="preserve"> came to wield </w:t>
      </w:r>
      <w:r w:rsidR="001F32DE">
        <w:t xml:space="preserve">an </w:t>
      </w:r>
      <w:r w:rsidR="003B1EEE">
        <w:t xml:space="preserve">expansive </w:t>
      </w:r>
      <w:r w:rsidR="001F32DE">
        <w:t xml:space="preserve">set of </w:t>
      </w:r>
      <w:r w:rsidR="005F2283">
        <w:t>powers</w:t>
      </w:r>
      <w:r w:rsidR="003B1EEE">
        <w:t xml:space="preserve"> over medical products</w:t>
      </w:r>
      <w:r w:rsidR="005F2283">
        <w:t>, most prominently the power to act as the sole gatekeeper who determined which products could go the U.S. market and which could not</w:t>
      </w:r>
      <w:r w:rsidR="003B1EEE">
        <w:t>.</w:t>
      </w:r>
    </w:p>
    <w:p w14:paraId="658A7E1C" w14:textId="2962DD9F" w:rsidR="003B1EEE" w:rsidRDefault="003B1EEE" w:rsidP="00A63B94">
      <w:pPr>
        <w:spacing w:after="120"/>
        <w:ind w:firstLine="720"/>
      </w:pPr>
      <w:r>
        <w:t xml:space="preserve">Although the set of policy goals that Congress and the Agency itself have assigned the FDA is expansive, </w:t>
      </w:r>
      <w:r w:rsidR="00AA298E">
        <w:t>a</w:t>
      </w:r>
      <w:r>
        <w:t xml:space="preserve"> central goal of FDA regulation is the prevention of mass harm events </w:t>
      </w:r>
      <w:r w:rsidR="00AA298E">
        <w:t>like these.</w:t>
      </w:r>
      <w:r>
        <w:t xml:space="preserve"> And yet, mass harm events caused by drugs, biologics, and medical devices continue to occur with distressing regularity. </w:t>
      </w:r>
      <w:r w:rsidR="000E0C5C">
        <w:t>By some estimates, t</w:t>
      </w:r>
      <w:r>
        <w:t>he anti</w:t>
      </w:r>
      <w:r w:rsidR="000E0C5C">
        <w:t xml:space="preserve">-inflammatory drug Vioxx caused 140,000 serious cardiac events like heart attacks. A single opioid analgesic, OxyContin, </w:t>
      </w:r>
      <w:r w:rsidR="00CB5A34">
        <w:t>was a major contributor to the hundreds of thousands of drug-related deaths in the first wave of the opioid crisis. More than 7</w:t>
      </w:r>
      <w:r w:rsidR="00A63B94">
        <w:t>5</w:t>
      </w:r>
      <w:r w:rsidR="00CB5A34">
        <w:t xml:space="preserve">,000 women </w:t>
      </w:r>
      <w:r w:rsidR="001F32DE">
        <w:t>have been</w:t>
      </w:r>
      <w:r w:rsidR="00CB5A34">
        <w:t xml:space="preserve"> plaintiffs in multidistrict litigation</w:t>
      </w:r>
      <w:r w:rsidR="00A63B94">
        <w:t>, alleging that</w:t>
      </w:r>
      <w:r w:rsidR="00CB5A34">
        <w:t xml:space="preserve"> polypropy</w:t>
      </w:r>
      <w:r w:rsidR="00A63B94">
        <w:t>lene mesh devices used in pelvic reconstruction surgeries had cause</w:t>
      </w:r>
      <w:r w:rsidR="001F32DE">
        <w:t>d them</w:t>
      </w:r>
      <w:r w:rsidR="00A63B94">
        <w:t xml:space="preserve"> pain, urinary incontinence, erosion, and the need for numerous surgical revisions. And over 400,000 people </w:t>
      </w:r>
      <w:r w:rsidR="001F32DE">
        <w:t>who were implanted with</w:t>
      </w:r>
      <w:r w:rsidR="00A63B94">
        <w:t xml:space="preserve"> two models of defibrillator leads faced a high risk of device failure that could </w:t>
      </w:r>
      <w:r w:rsidR="001F32DE">
        <w:t>cause</w:t>
      </w:r>
      <w:r w:rsidR="00A63B94">
        <w:t xml:space="preserve"> </w:t>
      </w:r>
      <w:r w:rsidR="001F32DE">
        <w:t>storms</w:t>
      </w:r>
      <w:r w:rsidR="00A63B94">
        <w:t xml:space="preserve"> of dozens or hundreds of painful shocks and </w:t>
      </w:r>
      <w:r w:rsidR="0031171F">
        <w:t xml:space="preserve">create </w:t>
      </w:r>
      <w:r w:rsidR="00A63B94">
        <w:t>short-circuiting that could lead to death.</w:t>
      </w:r>
      <w:r w:rsidR="007D5230">
        <w:rPr>
          <w:rStyle w:val="FootnoteReference"/>
        </w:rPr>
        <w:footnoteReference w:id="3"/>
      </w:r>
      <w:r w:rsidR="00A63B94">
        <w:t xml:space="preserve"> </w:t>
      </w:r>
      <w:r w:rsidR="00D1795B">
        <w:t>All</w:t>
      </w:r>
      <w:r w:rsidR="00A63B94">
        <w:t xml:space="preserve"> these mass harm events have occurred in the past few decades, and all of the products </w:t>
      </w:r>
      <w:r w:rsidR="00AA298E">
        <w:t>involved</w:t>
      </w:r>
      <w:r w:rsidR="00A63B94">
        <w:t xml:space="preserve"> </w:t>
      </w:r>
      <w:r w:rsidR="00AA298E">
        <w:t>wer</w:t>
      </w:r>
      <w:r w:rsidR="00A63B94">
        <w:t>e regulated by the FDA</w:t>
      </w:r>
      <w:r w:rsidR="008D70CC">
        <w:t xml:space="preserve"> under the framework that developed largely in response to the early events</w:t>
      </w:r>
      <w:r w:rsidR="00A63B94">
        <w:t>.</w:t>
      </w:r>
    </w:p>
    <w:p w14:paraId="09E5C6E2" w14:textId="5F5A25D4" w:rsidR="008D70CC" w:rsidRDefault="008D70CC" w:rsidP="008D70CC">
      <w:pPr>
        <w:spacing w:after="120"/>
        <w:ind w:firstLine="720"/>
      </w:pPr>
      <w:r>
        <w:t xml:space="preserve">A great deal has been written about how regulatory failures—of the statutory framework under which FDA regulates and of FDA’s implementation of its </w:t>
      </w:r>
      <w:r w:rsidR="006026E7">
        <w:t xml:space="preserve">statutory </w:t>
      </w:r>
      <w:r>
        <w:t>authorities—have allowed regulatory-era</w:t>
      </w:r>
      <w:r w:rsidR="0031171F">
        <w:rPr>
          <w:rStyle w:val="FootnoteReference"/>
        </w:rPr>
        <w:footnoteReference w:id="4"/>
      </w:r>
      <w:r>
        <w:t xml:space="preserve"> mass harm events to happen. In this project I’m trying to </w:t>
      </w:r>
      <w:r w:rsidR="0031171F">
        <w:t>conceive of</w:t>
      </w:r>
      <w:r>
        <w:t xml:space="preserve"> the problem more broadly, as a failure to </w:t>
      </w:r>
      <w:r w:rsidR="006026E7">
        <w:t>consider</w:t>
      </w:r>
      <w:r>
        <w:t xml:space="preserve"> the</w:t>
      </w:r>
      <w:r w:rsidR="006026E7">
        <w:t xml:space="preserve"> larger set of</w:t>
      </w:r>
      <w:r>
        <w:t xml:space="preserve"> factors that lead to mass harm events and about how </w:t>
      </w:r>
      <w:r w:rsidR="00C46BCE">
        <w:t xml:space="preserve">current </w:t>
      </w:r>
      <w:r>
        <w:t xml:space="preserve">regulation </w:t>
      </w:r>
      <w:proofErr w:type="gramStart"/>
      <w:r w:rsidR="00C46BCE">
        <w:t>misses</w:t>
      </w:r>
      <w:proofErr w:type="gramEnd"/>
      <w:r w:rsidR="00C46BCE">
        <w:t xml:space="preserve"> opportunities to address</w:t>
      </w:r>
      <w:r>
        <w:t xml:space="preserve"> more of those factors. I’m posing several questions:</w:t>
      </w:r>
    </w:p>
    <w:p w14:paraId="446CCB14" w14:textId="77777777" w:rsidR="00506080" w:rsidRDefault="00840744" w:rsidP="007A2331">
      <w:pPr>
        <w:pStyle w:val="ListParagraph"/>
        <w:numPr>
          <w:ilvl w:val="0"/>
          <w:numId w:val="1"/>
        </w:numPr>
        <w:spacing w:after="120"/>
      </w:pPr>
      <w:r>
        <w:t xml:space="preserve">What conditions were required </w:t>
      </w:r>
      <w:r w:rsidR="00186FF3">
        <w:t>for</w:t>
      </w:r>
      <w:r>
        <w:t xml:space="preserve"> the pre-regulatory mass harm events to occur?</w:t>
      </w:r>
      <w:r w:rsidR="00186FF3">
        <w:t xml:space="preserve"> </w:t>
      </w:r>
    </w:p>
    <w:p w14:paraId="7F2A4C9C" w14:textId="5B3B07CF" w:rsidR="007A2331" w:rsidRDefault="007A2331" w:rsidP="00506080">
      <w:pPr>
        <w:spacing w:after="120"/>
        <w:ind w:left="720"/>
      </w:pPr>
      <w:r>
        <w:t xml:space="preserve">Two conditions that are generally recognized are that there </w:t>
      </w:r>
      <w:r w:rsidR="006026E7">
        <w:t>was</w:t>
      </w:r>
      <w:r>
        <w:t xml:space="preserve"> no premarket gatekeeper to ensure </w:t>
      </w:r>
      <w:r w:rsidR="005F2283">
        <w:t>medical product</w:t>
      </w:r>
      <w:r>
        <w:t xml:space="preserve"> safety and effectiveness and that the regulatory powers </w:t>
      </w:r>
      <w:r w:rsidR="006026E7">
        <w:t xml:space="preserve">over these products </w:t>
      </w:r>
      <w:r>
        <w:t xml:space="preserve">that did exist were </w:t>
      </w:r>
      <w:r w:rsidR="00252EAA">
        <w:t>limited</w:t>
      </w:r>
      <w:r>
        <w:t xml:space="preserve"> and fragmented</w:t>
      </w:r>
      <w:r w:rsidR="006026E7">
        <w:t xml:space="preserve"> (e.g</w:t>
      </w:r>
      <w:r>
        <w:t>.</w:t>
      </w:r>
      <w:r w:rsidR="006026E7">
        <w:t>, state and local health boards</w:t>
      </w:r>
      <w:r w:rsidR="00252EAA">
        <w:t>).</w:t>
      </w:r>
      <w:r>
        <w:t xml:space="preserve"> But i</w:t>
      </w:r>
      <w:r w:rsidR="00186FF3">
        <w:t xml:space="preserve">t </w:t>
      </w:r>
      <w:r>
        <w:t xml:space="preserve">takes </w:t>
      </w:r>
      <w:r w:rsidR="00186FF3">
        <w:t>more than the availability of an unsafe product</w:t>
      </w:r>
      <w:r w:rsidR="00252EAA">
        <w:t xml:space="preserve"> to cause scores or hundreds of</w:t>
      </w:r>
      <w:r w:rsidR="0024194A">
        <w:t xml:space="preserve"> deaths</w:t>
      </w:r>
      <w:r w:rsidR="00186FF3">
        <w:t>.</w:t>
      </w:r>
      <w:r>
        <w:t xml:space="preserve"> </w:t>
      </w:r>
      <w:r w:rsidR="00252EAA">
        <w:t>Dangerous</w:t>
      </w:r>
      <w:r>
        <w:t xml:space="preserve"> products had to be developed</w:t>
      </w:r>
      <w:r w:rsidR="005F2283">
        <w:t xml:space="preserve"> in the first place</w:t>
      </w:r>
      <w:r>
        <w:t xml:space="preserve">, raising the possibility that the products involved in mass harm events </w:t>
      </w:r>
      <w:r w:rsidR="0024194A">
        <w:t>had</w:t>
      </w:r>
      <w:r>
        <w:t xml:space="preserve"> innovation processes and timelines</w:t>
      </w:r>
      <w:r w:rsidR="0024194A">
        <w:t xml:space="preserve"> in common</w:t>
      </w:r>
      <w:r>
        <w:t xml:space="preserve">, </w:t>
      </w:r>
      <w:r w:rsidR="005F2283">
        <w:t xml:space="preserve">that </w:t>
      </w:r>
      <w:r>
        <w:t xml:space="preserve">their developers and </w:t>
      </w:r>
      <w:r w:rsidR="0024194A">
        <w:t>marketers</w:t>
      </w:r>
      <w:r>
        <w:t xml:space="preserve"> may have inadvertently or deliberately failed to look for and detect dangers</w:t>
      </w:r>
      <w:r w:rsidR="005F2283">
        <w:t xml:space="preserve"> or been overly optimistic about the benefits of new technologies</w:t>
      </w:r>
      <w:r>
        <w:t>, and so on. Once available, p</w:t>
      </w:r>
      <w:r w:rsidR="00186FF3">
        <w:t>hysicians had to adopt new products early enough and broadly enough to expose large numbers of people to undetected and undisclosed dangers</w:t>
      </w:r>
      <w:r w:rsidR="005F2283">
        <w:t xml:space="preserve">, and in some </w:t>
      </w:r>
      <w:proofErr w:type="gramStart"/>
      <w:r w:rsidR="005F2283">
        <w:t>case</w:t>
      </w:r>
      <w:proofErr w:type="gramEnd"/>
      <w:r w:rsidR="005F2283">
        <w:t xml:space="preserve"> to continue to use them even as information about their dangers emerged</w:t>
      </w:r>
      <w:r w:rsidR="00186FF3">
        <w:t xml:space="preserve">. </w:t>
      </w:r>
      <w:r>
        <w:t xml:space="preserve">There may have been common elements here as well—how </w:t>
      </w:r>
      <w:proofErr w:type="gramStart"/>
      <w:r>
        <w:t>much of</w:t>
      </w:r>
      <w:proofErr w:type="gramEnd"/>
      <w:r>
        <w:t xml:space="preserve"> product adoption was driven by need (</w:t>
      </w:r>
      <w:r w:rsidR="0024194A">
        <w:t xml:space="preserve">e.g., </w:t>
      </w:r>
      <w:r>
        <w:t>fatal diseases with no existing treatments), by advertising, by scientific knowledge and clinical data</w:t>
      </w:r>
      <w:r w:rsidR="00252EAA">
        <w:t>; why weren’t problems detected and acted on earlier</w:t>
      </w:r>
      <w:r>
        <w:t>?</w:t>
      </w:r>
    </w:p>
    <w:p w14:paraId="081CBC1B" w14:textId="6296D870" w:rsidR="00186FF3" w:rsidRDefault="00186FF3" w:rsidP="007A2331">
      <w:pPr>
        <w:spacing w:after="120"/>
        <w:ind w:left="720"/>
      </w:pPr>
      <w:r>
        <w:t>Through the use of original sources</w:t>
      </w:r>
      <w:r w:rsidR="00252EAA">
        <w:t xml:space="preserve"> (to the extent possible)</w:t>
      </w:r>
      <w:r>
        <w:t>,</w:t>
      </w:r>
      <w:r w:rsidR="00252EAA">
        <w:rPr>
          <w:rStyle w:val="FootnoteReference"/>
        </w:rPr>
        <w:footnoteReference w:id="5"/>
      </w:r>
      <w:r>
        <w:t xml:space="preserve"> this project will critically re-examine the tetanus contamination events </w:t>
      </w:r>
      <w:r w:rsidR="005F2283">
        <w:t>in</w:t>
      </w:r>
      <w:r>
        <w:t xml:space="preserve"> 1901</w:t>
      </w:r>
      <w:r w:rsidR="005F2283">
        <w:t xml:space="preserve"> St. Louis and Camden</w:t>
      </w:r>
      <w:r>
        <w:t xml:space="preserve">, the Elixir Sulfanilamide event of 1937, and the </w:t>
      </w:r>
      <w:proofErr w:type="spellStart"/>
      <w:r>
        <w:t>Dalkon</w:t>
      </w:r>
      <w:proofErr w:type="spellEnd"/>
      <w:r>
        <w:t xml:space="preserve"> Shield event of the early 1970s to develop a broader understanding of the factors that led to mass harm events and will seek to define a set of factors common to </w:t>
      </w:r>
      <w:r w:rsidR="0024194A">
        <w:t>these</w:t>
      </w:r>
      <w:r>
        <w:t xml:space="preserve"> events.</w:t>
      </w:r>
    </w:p>
    <w:p w14:paraId="0C911A4A" w14:textId="1E7461DA" w:rsidR="0024194A" w:rsidRDefault="00840744" w:rsidP="00BD3D95">
      <w:pPr>
        <w:pStyle w:val="ListParagraph"/>
        <w:numPr>
          <w:ilvl w:val="0"/>
          <w:numId w:val="1"/>
        </w:numPr>
        <w:spacing w:after="120"/>
      </w:pPr>
      <w:r>
        <w:t xml:space="preserve">Given that mass harm events continue to occur in the face of regulation, </w:t>
      </w:r>
      <w:r w:rsidR="0024194A">
        <w:t>have the</w:t>
      </w:r>
      <w:r>
        <w:t xml:space="preserve"> conditions </w:t>
      </w:r>
      <w:r w:rsidR="0024194A">
        <w:t>that lead to</w:t>
      </w:r>
      <w:r>
        <w:t xml:space="preserve"> </w:t>
      </w:r>
      <w:r w:rsidR="0024194A">
        <w:t>such</w:t>
      </w:r>
      <w:r>
        <w:t xml:space="preserve"> events changed?</w:t>
      </w:r>
      <w:r w:rsidR="00186FF3">
        <w:t xml:space="preserve"> </w:t>
      </w:r>
    </w:p>
    <w:p w14:paraId="1C1F9873" w14:textId="7A8B37D4" w:rsidR="000A11C8" w:rsidRDefault="00186FF3" w:rsidP="0024194A">
      <w:pPr>
        <w:spacing w:after="120"/>
        <w:ind w:left="720"/>
      </w:pPr>
      <w:r>
        <w:t xml:space="preserve">Each expansion of federal premarket authority over biologics, drugs, and medical devices </w:t>
      </w:r>
      <w:r w:rsidR="007A2331">
        <w:t>marked an inflection point in the regulatory process itself</w:t>
      </w:r>
      <w:r>
        <w:t xml:space="preserve">. By the time of the regulatory-era mass harm events, </w:t>
      </w:r>
      <w:r w:rsidR="00A47293">
        <w:t xml:space="preserve">product manufacturers </w:t>
      </w:r>
      <w:r w:rsidR="0024194A">
        <w:t>were required</w:t>
      </w:r>
      <w:r w:rsidR="00A47293">
        <w:t xml:space="preserve"> to provide clinical trial evidence of safety and effectiveness for some of their new products and to comply with extensive requirements of others. And yet, mass harm events continue to occur. </w:t>
      </w:r>
    </w:p>
    <w:p w14:paraId="508E554E" w14:textId="14F03B95" w:rsidR="00A47293" w:rsidRDefault="00A47293" w:rsidP="000A11C8">
      <w:pPr>
        <w:spacing w:after="120"/>
        <w:ind w:left="720"/>
      </w:pPr>
      <w:r>
        <w:t xml:space="preserve">This project will re-examine the Vioxx, Oxycontin, polypropylene mesh, and implanted defibrillator lead </w:t>
      </w:r>
      <w:r w:rsidR="00C46BCE">
        <w:t>cases</w:t>
      </w:r>
      <w:r>
        <w:t xml:space="preserve"> to understand the factors that led to regulatory-era mass harm events. I</w:t>
      </w:r>
      <w:r w:rsidR="00C46BCE">
        <w:t xml:space="preserve"> think I’ll need</w:t>
      </w:r>
      <w:r>
        <w:t xml:space="preserve"> to discuss the shortcomings of FDA regulation that contributed to these events, but much has </w:t>
      </w:r>
      <w:r w:rsidR="005F2283">
        <w:t xml:space="preserve">already </w:t>
      </w:r>
      <w:r>
        <w:t xml:space="preserve">been written on this front. I plan to </w:t>
      </w:r>
      <w:r w:rsidR="00C46BCE">
        <w:t>look more broadly</w:t>
      </w:r>
      <w:r>
        <w:t xml:space="preserve">: </w:t>
      </w:r>
      <w:r w:rsidR="00C46BCE">
        <w:t>W</w:t>
      </w:r>
      <w:r>
        <w:t>hat happened before the regulatory phase (i.e., during the</w:t>
      </w:r>
      <w:r w:rsidR="00C46BCE">
        <w:t xml:space="preserve"> </w:t>
      </w:r>
      <w:r>
        <w:t>innovation</w:t>
      </w:r>
      <w:r w:rsidR="00C46BCE">
        <w:t xml:space="preserve">, </w:t>
      </w:r>
      <w:r>
        <w:t>development</w:t>
      </w:r>
      <w:r w:rsidR="00C46BCE">
        <w:t>, and commercialization</w:t>
      </w:r>
      <w:r>
        <w:t xml:space="preserve"> phases) and in the post-regulatory phase that led to mass harm events? And, through a comparison of the pre-regulatory and post-regulatory events, how have these factors changed</w:t>
      </w:r>
      <w:r w:rsidR="000A11C8">
        <w:t xml:space="preserve"> in response to the interposition of FDA regulation</w:t>
      </w:r>
      <w:r>
        <w:t>?</w:t>
      </w:r>
    </w:p>
    <w:p w14:paraId="487699BA" w14:textId="77777777" w:rsidR="00C46BCE" w:rsidRDefault="00A47293" w:rsidP="00BD3D95">
      <w:pPr>
        <w:pStyle w:val="ListParagraph"/>
        <w:numPr>
          <w:ilvl w:val="0"/>
          <w:numId w:val="1"/>
        </w:numPr>
        <w:spacing w:after="120"/>
      </w:pPr>
      <w:r>
        <w:t>W</w:t>
      </w:r>
      <w:r w:rsidR="00186FF3">
        <w:t>here has regulation failed and what might a more successful approach look like?</w:t>
      </w:r>
      <w:r>
        <w:t xml:space="preserve"> </w:t>
      </w:r>
    </w:p>
    <w:p w14:paraId="1D69F315" w14:textId="4FAB4879" w:rsidR="00840744" w:rsidRDefault="00A47293" w:rsidP="00C46BCE">
      <w:pPr>
        <w:spacing w:after="120"/>
        <w:ind w:left="720"/>
      </w:pPr>
      <w:r>
        <w:t xml:space="preserve">I intend the first of these questions as a broader inquiry—not just how has regulation through the FDA-administered framework failed, but </w:t>
      </w:r>
      <w:r w:rsidR="00BD3D95">
        <w:t xml:space="preserve">where has federal regulation failed to even reach? </w:t>
      </w:r>
      <w:r w:rsidR="00C46BCE">
        <w:t xml:space="preserve">In a way, this is a search for commonalities between </w:t>
      </w:r>
      <w:proofErr w:type="gramStart"/>
      <w:r w:rsidR="00C46BCE">
        <w:t>the pre</w:t>
      </w:r>
      <w:proofErr w:type="gramEnd"/>
      <w:r w:rsidR="00C46BCE">
        <w:t xml:space="preserve">-regulatory and </w:t>
      </w:r>
      <w:proofErr w:type="gramStart"/>
      <w:r w:rsidR="00C46BCE">
        <w:t>the regulatory</w:t>
      </w:r>
      <w:proofErr w:type="gramEnd"/>
      <w:r w:rsidR="00C46BCE">
        <w:t xml:space="preserve"> events. </w:t>
      </w:r>
      <w:r w:rsidR="00BD3D95">
        <w:t>The hope is that this approach will help to identify potential points of intervention that could prove effective in preventing mass harm events</w:t>
      </w:r>
      <w:r w:rsidR="00C46BCE">
        <w:t xml:space="preserve"> in an era in which FDA is being hobbled</w:t>
      </w:r>
      <w:r w:rsidR="00BD3D95">
        <w:t>.</w:t>
      </w:r>
    </w:p>
    <w:p w14:paraId="5C04A77B" w14:textId="77777777" w:rsidR="00FE42FF" w:rsidRDefault="00FE42FF" w:rsidP="001B2562">
      <w:pPr>
        <w:spacing w:after="120"/>
      </w:pPr>
    </w:p>
    <w:p w14:paraId="31855E4A" w14:textId="57D8D50D" w:rsidR="00C46BCE" w:rsidRDefault="00C46BCE" w:rsidP="00C46BCE">
      <w:pPr>
        <w:spacing w:after="120"/>
        <w:jc w:val="center"/>
      </w:pPr>
      <w:r>
        <w:t>Outline</w:t>
      </w:r>
    </w:p>
    <w:p w14:paraId="712B1C08" w14:textId="1BA10C27" w:rsidR="00C46BCE" w:rsidRDefault="00C46BCE" w:rsidP="00C46BCE">
      <w:pPr>
        <w:pStyle w:val="ListParagraph"/>
        <w:numPr>
          <w:ilvl w:val="0"/>
          <w:numId w:val="2"/>
        </w:numPr>
        <w:spacing w:after="120"/>
      </w:pPr>
      <w:r>
        <w:t>Contextualizing the mass harm events that drove the major expansions of FDA’s authority that forged the modern regulatory framework for medical products.</w:t>
      </w:r>
    </w:p>
    <w:p w14:paraId="3931CBF3" w14:textId="6BAE309F" w:rsidR="00C46BCE" w:rsidRDefault="00C46BCE" w:rsidP="00C46BCE">
      <w:pPr>
        <w:pStyle w:val="ListParagraph"/>
        <w:numPr>
          <w:ilvl w:val="0"/>
          <w:numId w:val="2"/>
        </w:numPr>
        <w:spacing w:after="120"/>
      </w:pPr>
      <w:r>
        <w:t>The Federal Response to Mass Harm Events: The Modern Regulatory Framework</w:t>
      </w:r>
    </w:p>
    <w:p w14:paraId="6D1D3B06" w14:textId="1572C019" w:rsidR="00C46BCE" w:rsidRDefault="00C46BCE" w:rsidP="00C46BCE">
      <w:pPr>
        <w:pStyle w:val="ListParagraph"/>
        <w:numPr>
          <w:ilvl w:val="0"/>
          <w:numId w:val="2"/>
        </w:numPr>
        <w:spacing w:after="120"/>
      </w:pPr>
      <w:r>
        <w:t>Contemporary Mass Harm Events</w:t>
      </w:r>
    </w:p>
    <w:p w14:paraId="42531F01" w14:textId="6211C8F2" w:rsidR="00C46BCE" w:rsidRDefault="00C46BCE" w:rsidP="00C46BCE">
      <w:pPr>
        <w:pStyle w:val="ListParagraph"/>
        <w:numPr>
          <w:ilvl w:val="0"/>
          <w:numId w:val="2"/>
        </w:numPr>
        <w:spacing w:after="120"/>
      </w:pPr>
      <w:r>
        <w:t>Continuity and Change in the Occurrence of Mass Harm Events</w:t>
      </w:r>
    </w:p>
    <w:p w14:paraId="7AB44795" w14:textId="01027F43" w:rsidR="00C46BCE" w:rsidRDefault="00C46BCE" w:rsidP="00C46BCE">
      <w:pPr>
        <w:pStyle w:val="ListParagraph"/>
        <w:numPr>
          <w:ilvl w:val="0"/>
          <w:numId w:val="2"/>
        </w:numPr>
        <w:spacing w:after="120"/>
      </w:pPr>
      <w:r>
        <w:t>Solutions</w:t>
      </w:r>
    </w:p>
    <w:p w14:paraId="1C25945F" w14:textId="77777777" w:rsidR="00C46BCE" w:rsidRDefault="00C46BCE" w:rsidP="001B2562">
      <w:pPr>
        <w:spacing w:after="120"/>
      </w:pPr>
    </w:p>
    <w:p w14:paraId="65DA826A" w14:textId="77C9F805" w:rsidR="00FE42FF" w:rsidRDefault="00FE42FF" w:rsidP="00FE42FF">
      <w:pPr>
        <w:spacing w:after="120"/>
        <w:jc w:val="center"/>
      </w:pPr>
      <w:r>
        <w:t>I.  Contextualizing the mass harm events that drove th</w:t>
      </w:r>
      <w:r w:rsidR="00840744">
        <w:t>e</w:t>
      </w:r>
      <w:r>
        <w:t xml:space="preserve"> major expansions of FDA’s authority that forged the modern regulatory framework for medical products.</w:t>
      </w:r>
    </w:p>
    <w:p w14:paraId="76AB2E60" w14:textId="4F36D6C6" w:rsidR="005E2BA8" w:rsidRDefault="00FE42FF" w:rsidP="00A63B94">
      <w:pPr>
        <w:spacing w:after="120"/>
        <w:ind w:firstLine="720"/>
      </w:pPr>
      <w:r>
        <w:t xml:space="preserve">This Part will use the 1901, 1937, and 1970s events to understand how mass harm events came to </w:t>
      </w:r>
      <w:r w:rsidR="00862FE4">
        <w:t>pass</w:t>
      </w:r>
      <w:r>
        <w:t xml:space="preserve"> </w:t>
      </w:r>
      <w:r w:rsidR="00840744">
        <w:t xml:space="preserve">before Congress provided for federal regulation of each product type. </w:t>
      </w:r>
      <w:r w:rsidR="005E2BA8">
        <w:t xml:space="preserve">Health Law. FDA Law </w:t>
      </w:r>
      <w:proofErr w:type="gramStart"/>
      <w:r w:rsidR="005E2BA8">
        <w:t>scholars, and</w:t>
      </w:r>
      <w:proofErr w:type="gramEnd"/>
      <w:r w:rsidR="005E2BA8">
        <w:t xml:space="preserve"> tend to portray these events quite simply as having been caused by dangerous and untested products, which justify the construction of a regulatory framework that assesses the danger (and effectiveness) of medical products through </w:t>
      </w:r>
      <w:r w:rsidR="004F7A7D">
        <w:t xml:space="preserve">preclinical and clinical testing. Thus far, I’ve immersed myself in reading contemporary sources from St. Louis </w:t>
      </w:r>
      <w:r w:rsidR="005F2283">
        <w:t xml:space="preserve">and Camden </w:t>
      </w:r>
      <w:r w:rsidR="004F7A7D">
        <w:t>in 1901, and I have some familiarity with the other events, and I think the common portrayal is incomplete and, in at least one case, possibly incorrect.</w:t>
      </w:r>
      <w:r w:rsidR="004F7A7D">
        <w:rPr>
          <w:rStyle w:val="FootnoteReference"/>
        </w:rPr>
        <w:footnoteReference w:id="6"/>
      </w:r>
      <w:r w:rsidR="004F7A7D">
        <w:t xml:space="preserve"> More thoroughly excavating the factors that contributed to each event may not affect the explanatory power of the common portrayal—if Congress saw things in this way, then likely it did legislative as a response </w:t>
      </w:r>
      <w:r w:rsidR="005F2283">
        <w:t>based on</w:t>
      </w:r>
      <w:r w:rsidR="004F7A7D">
        <w:t xml:space="preserve"> that perception. But a more thorough understanding of what led to </w:t>
      </w:r>
      <w:proofErr w:type="gramStart"/>
      <w:r w:rsidR="004F7A7D">
        <w:t>the mass</w:t>
      </w:r>
      <w:proofErr w:type="gramEnd"/>
      <w:r w:rsidR="004F7A7D">
        <w:t xml:space="preserve"> harm events should help to explain why the regulatory framework Congress created has failed to prevent mass harm events.</w:t>
      </w:r>
    </w:p>
    <w:p w14:paraId="7B178713" w14:textId="05DA46EB" w:rsidR="00FF7672" w:rsidRDefault="00FF7672" w:rsidP="00A63B94">
      <w:pPr>
        <w:spacing w:after="120"/>
        <w:ind w:firstLine="720"/>
      </w:pPr>
      <w:r>
        <w:t>From my research thus far, some things seem likely to be established: Most of the products in these events were the result of incredibly rapid innovation and commercialization</w:t>
      </w:r>
      <w:r w:rsidR="001B2562">
        <w:t xml:space="preserve"> (diphtheria antitoxin,</w:t>
      </w:r>
      <w:r w:rsidR="001B2562">
        <w:rPr>
          <w:rStyle w:val="FootnoteReference"/>
        </w:rPr>
        <w:footnoteReference w:id="7"/>
      </w:r>
      <w:r w:rsidR="001B2562">
        <w:t xml:space="preserve"> Elixir Sulfanilamide, </w:t>
      </w:r>
      <w:proofErr w:type="spellStart"/>
      <w:r w:rsidR="001B2562">
        <w:t>Dalkon</w:t>
      </w:r>
      <w:proofErr w:type="spellEnd"/>
      <w:r w:rsidR="001B2562">
        <w:t xml:space="preserve"> Shield IUD)</w:t>
      </w:r>
      <w:r>
        <w:t>; the product</w:t>
      </w:r>
      <w:r w:rsidR="001B2562">
        <w:t>s</w:t>
      </w:r>
      <w:r>
        <w:t xml:space="preserve"> had been almost or entirely untested before marketing (Elixir Sulfanilamide, </w:t>
      </w:r>
      <w:proofErr w:type="spellStart"/>
      <w:r>
        <w:t>Dalkon</w:t>
      </w:r>
      <w:proofErr w:type="spellEnd"/>
      <w:r>
        <w:t xml:space="preserve"> Shield IUD) </w:t>
      </w:r>
      <w:r w:rsidR="001B2562">
        <w:t>or</w:t>
      </w:r>
      <w:r>
        <w:t xml:space="preserve"> individual batches were either untested or released without testing (diphtheria antitoxin, possibly smallpox vaccine); physicians very rapidly adopted the use of all four products as soon as they had become available; this rapid uptake was driven in the 1901 cases by the fact that no other treatment for the fatal diseases was available, but that this condition was increasingly not present in the 1938 and 1970s events; and that even after the product dangers had become known, physicians refused to alter their risk-benefit calculations (maybe rightly so, maybe not) for long enough to expose many more people to harm</w:t>
      </w:r>
      <w:r w:rsidR="001B2562">
        <w:t>.</w:t>
      </w:r>
    </w:p>
    <w:p w14:paraId="29E759FF" w14:textId="0E4116F3" w:rsidR="001B2562" w:rsidRDefault="001B2562" w:rsidP="00A63B94">
      <w:pPr>
        <w:spacing w:after="120"/>
        <w:ind w:firstLine="720"/>
      </w:pPr>
      <w:r>
        <w:t>[Much more work to do here.]</w:t>
      </w:r>
    </w:p>
    <w:p w14:paraId="70AB80F2" w14:textId="77777777" w:rsidR="001B2562" w:rsidRDefault="001B2562" w:rsidP="00A63B94">
      <w:pPr>
        <w:spacing w:after="120"/>
        <w:ind w:firstLine="720"/>
      </w:pPr>
    </w:p>
    <w:p w14:paraId="5D28A7D2" w14:textId="04A5F9C7" w:rsidR="001B2562" w:rsidRDefault="001B2562" w:rsidP="001B2562">
      <w:pPr>
        <w:spacing w:after="120"/>
        <w:jc w:val="center"/>
      </w:pPr>
      <w:r>
        <w:t>II</w:t>
      </w:r>
      <w:proofErr w:type="gramStart"/>
      <w:r>
        <w:t>.  The</w:t>
      </w:r>
      <w:proofErr w:type="gramEnd"/>
      <w:r>
        <w:t xml:space="preserve"> Federal Response to Mass Harm Events: The Modern Regulatory Framework</w:t>
      </w:r>
    </w:p>
    <w:p w14:paraId="404C400E" w14:textId="098923D6" w:rsidR="001B2562" w:rsidRDefault="001B2562" w:rsidP="00A63B94">
      <w:pPr>
        <w:spacing w:after="120"/>
        <w:ind w:firstLine="720"/>
      </w:pPr>
      <w:r>
        <w:t>[This be a necessarily abbreviated overview of how FDA regulates drugs, biologics, and devices, to support a later analysis (in Part IV) of why mass harm events continue to occur.]</w:t>
      </w:r>
    </w:p>
    <w:p w14:paraId="7B3F1DCD" w14:textId="77777777" w:rsidR="001B2562" w:rsidRDefault="001B2562" w:rsidP="00A63B94">
      <w:pPr>
        <w:spacing w:after="120"/>
        <w:ind w:firstLine="720"/>
      </w:pPr>
    </w:p>
    <w:p w14:paraId="76D0E148" w14:textId="29F98A5B" w:rsidR="001B2562" w:rsidRDefault="001B2562" w:rsidP="001B2562">
      <w:pPr>
        <w:spacing w:after="120"/>
        <w:jc w:val="center"/>
      </w:pPr>
      <w:r>
        <w:t>III</w:t>
      </w:r>
      <w:proofErr w:type="gramStart"/>
      <w:r>
        <w:t>.  Contemporary</w:t>
      </w:r>
      <w:proofErr w:type="gramEnd"/>
      <w:r>
        <w:t xml:space="preserve"> Mass Harm Events</w:t>
      </w:r>
    </w:p>
    <w:p w14:paraId="060E1D8C" w14:textId="77777777" w:rsidR="00CD635A" w:rsidRDefault="001B2562" w:rsidP="00A63B94">
      <w:pPr>
        <w:spacing w:after="120"/>
        <w:ind w:firstLine="720"/>
      </w:pPr>
      <w:r>
        <w:t>[I envision this Part as presenting four modern-day events</w:t>
      </w:r>
      <w:r w:rsidR="00CD635A">
        <w:t xml:space="preserve"> (associated with Vioxx, OxyContin, polypropylene mesh, and implanted defibrillator leads)</w:t>
      </w:r>
      <w:r>
        <w:t xml:space="preserve"> in case-study fashion akin to the presentations of the older events in Part I. </w:t>
      </w:r>
      <w:r w:rsidR="00CD635A">
        <w:t xml:space="preserve">I know a lot more about the devices, so I’ll be starting my research into how Vioxx and OxyContin came to inflict the widespread harms that they did. In some ways, I expect the device stories to be stories of continuity in many ways, notably that like the </w:t>
      </w:r>
      <w:proofErr w:type="spellStart"/>
      <w:r w:rsidR="00CD635A">
        <w:t>Dalkon</w:t>
      </w:r>
      <w:proofErr w:type="spellEnd"/>
      <w:r w:rsidR="00CD635A">
        <w:t xml:space="preserve"> Shield, the safety and effectiveness of polypropylene mesh devices and low-profile implanted defibrillator leads </w:t>
      </w:r>
      <w:proofErr w:type="gramStart"/>
      <w:r w:rsidR="00CD635A">
        <w:t>was</w:t>
      </w:r>
      <w:proofErr w:type="gramEnd"/>
      <w:r w:rsidR="00CD635A">
        <w:t xml:space="preserve"> not robustly assessed, either during their development or through the FDA regulatory process. And, like the </w:t>
      </w:r>
      <w:proofErr w:type="spellStart"/>
      <w:r w:rsidR="00CD635A">
        <w:t>Dalkon</w:t>
      </w:r>
      <w:proofErr w:type="spellEnd"/>
      <w:r w:rsidR="00CD635A">
        <w:t xml:space="preserve"> Shield, physician adoption of these new technologies was very rapid, again </w:t>
      </w:r>
      <w:proofErr w:type="gramStart"/>
      <w:r w:rsidR="00CD635A">
        <w:t>in spite of</w:t>
      </w:r>
      <w:proofErr w:type="gramEnd"/>
      <w:r w:rsidR="00CD635A">
        <w:t xml:space="preserve"> there being other, better understood options. As for the drugs, physician adoption also seems to have been rapid, but I need to do a lot more research here. Ideally, I’ll be able to identify a set of characteristics that are common to most or </w:t>
      </w:r>
      <w:proofErr w:type="gramStart"/>
      <w:r w:rsidR="00CD635A">
        <w:t>all of</w:t>
      </w:r>
      <w:proofErr w:type="gramEnd"/>
      <w:r w:rsidR="00CD635A">
        <w:t xml:space="preserve"> the mass harm events that arose from these products.]</w:t>
      </w:r>
    </w:p>
    <w:p w14:paraId="462BE9F7" w14:textId="77777777" w:rsidR="00CD635A" w:rsidRDefault="00CD635A" w:rsidP="00A63B94">
      <w:pPr>
        <w:spacing w:after="120"/>
        <w:ind w:firstLine="720"/>
      </w:pPr>
    </w:p>
    <w:p w14:paraId="3DD1E99C" w14:textId="1551D242" w:rsidR="00CD635A" w:rsidRDefault="00CD635A" w:rsidP="00CD635A">
      <w:pPr>
        <w:spacing w:after="120"/>
        <w:jc w:val="center"/>
      </w:pPr>
      <w:r>
        <w:t>IV</w:t>
      </w:r>
      <w:proofErr w:type="gramStart"/>
      <w:r>
        <w:t>.  Continuity</w:t>
      </w:r>
      <w:proofErr w:type="gramEnd"/>
      <w:r>
        <w:t xml:space="preserve"> and Change in the Occurrence of Mass Harm Events</w:t>
      </w:r>
    </w:p>
    <w:p w14:paraId="74367250" w14:textId="77777777" w:rsidR="00A2078A" w:rsidRDefault="00CD635A" w:rsidP="00A63B94">
      <w:pPr>
        <w:spacing w:after="120"/>
        <w:ind w:firstLine="720"/>
      </w:pPr>
      <w:r>
        <w:t xml:space="preserve">[While I have some thoughts about some of the similarities and differences I’ll find between the old and the new events, </w:t>
      </w:r>
      <w:r w:rsidR="00A2078A">
        <w:t>I’ve got much work to do.</w:t>
      </w:r>
    </w:p>
    <w:p w14:paraId="239427D1" w14:textId="166C9655" w:rsidR="00CD635A" w:rsidRDefault="00A2078A" w:rsidP="00A2078A">
      <w:pPr>
        <w:spacing w:after="120"/>
        <w:ind w:firstLine="720"/>
      </w:pPr>
      <w:r>
        <w:t xml:space="preserve">If, as I think will be the case, there </w:t>
      </w:r>
      <w:r w:rsidR="002846B5">
        <w:t>are</w:t>
      </w:r>
      <w:r>
        <w:t xml:space="preserve"> important factors common to most or </w:t>
      </w:r>
      <w:proofErr w:type="gramStart"/>
      <w:r>
        <w:t>all of</w:t>
      </w:r>
      <w:proofErr w:type="gramEnd"/>
      <w:r>
        <w:t xml:space="preserve"> these cases across time, there may be </w:t>
      </w:r>
      <w:proofErr w:type="gramStart"/>
      <w:r>
        <w:t>a Part</w:t>
      </w:r>
      <w:proofErr w:type="gramEnd"/>
      <w:r>
        <w:t xml:space="preserve"> V, which will begin to explore ways that federal regulation might function more effectively by addressing a broader set of causes. I’m working on a similar idea in another project, which looks at the role of private litigation is a health care “system” in which many actors other than patients and their physicians make medical decisions and argues that focusing litigation on only a subset of these actors (physicians, institutions, and to some extent managed care organizations) is too narrow an approach.]</w:t>
      </w:r>
    </w:p>
    <w:p w14:paraId="71597303" w14:textId="77777777" w:rsidR="00CD635A" w:rsidRDefault="00CD635A" w:rsidP="00A63B94">
      <w:pPr>
        <w:spacing w:after="120"/>
        <w:ind w:firstLine="720"/>
      </w:pPr>
    </w:p>
    <w:p w14:paraId="2E565D52" w14:textId="77777777" w:rsidR="00CD635A" w:rsidRDefault="00CD635A" w:rsidP="00A63B94">
      <w:pPr>
        <w:spacing w:after="120"/>
        <w:ind w:firstLine="720"/>
      </w:pPr>
    </w:p>
    <w:p w14:paraId="0113D3B4" w14:textId="0905F834" w:rsidR="001B2562" w:rsidRDefault="001B2562" w:rsidP="00C46BCE">
      <w:pPr>
        <w:spacing w:after="120"/>
        <w:ind w:firstLine="720"/>
      </w:pPr>
    </w:p>
    <w:p w14:paraId="6A87A443" w14:textId="77777777" w:rsidR="002846B5" w:rsidRDefault="002846B5" w:rsidP="00C46BCE">
      <w:pPr>
        <w:spacing w:after="120"/>
        <w:ind w:firstLine="720"/>
      </w:pPr>
    </w:p>
    <w:p w14:paraId="6C318D69" w14:textId="77777777" w:rsidR="00FC3A15" w:rsidRDefault="00FC3A15" w:rsidP="00C46BCE">
      <w:pPr>
        <w:spacing w:after="120"/>
        <w:ind w:firstLine="720"/>
      </w:pPr>
    </w:p>
    <w:p w14:paraId="713CE2A1" w14:textId="77777777" w:rsidR="00FC3A15" w:rsidRDefault="00FC3A15" w:rsidP="00C46BCE">
      <w:pPr>
        <w:spacing w:after="120"/>
        <w:ind w:firstLine="720"/>
      </w:pPr>
    </w:p>
    <w:p w14:paraId="713FAA52" w14:textId="77777777" w:rsidR="00FC3A15" w:rsidRDefault="00FC3A15" w:rsidP="00C46BCE">
      <w:pPr>
        <w:spacing w:after="120"/>
        <w:ind w:firstLine="720"/>
      </w:pPr>
    </w:p>
    <w:p w14:paraId="76497A7F" w14:textId="77777777" w:rsidR="00FC3A15" w:rsidRDefault="00FC3A15" w:rsidP="00C46BCE">
      <w:pPr>
        <w:spacing w:after="120"/>
        <w:ind w:firstLine="720"/>
      </w:pPr>
    </w:p>
    <w:p w14:paraId="005CA585" w14:textId="77777777" w:rsidR="002846B5" w:rsidRDefault="002846B5" w:rsidP="00FC3A15">
      <w:pPr>
        <w:spacing w:after="120"/>
      </w:pPr>
    </w:p>
    <w:p w14:paraId="2FA23B20" w14:textId="501C6175" w:rsidR="00506080" w:rsidRPr="009E2A54" w:rsidRDefault="00A2078A" w:rsidP="00C46BCE">
      <w:pPr>
        <w:spacing w:after="120"/>
        <w:ind w:firstLine="720"/>
        <w:rPr>
          <w:u w:val="single"/>
        </w:rPr>
      </w:pPr>
      <w:r w:rsidRPr="009E2A54">
        <w:rPr>
          <w:u w:val="single"/>
        </w:rPr>
        <w:t xml:space="preserve">Appendix: The </w:t>
      </w:r>
      <w:r w:rsidR="001B2562" w:rsidRPr="009E2A54">
        <w:rPr>
          <w:u w:val="single"/>
        </w:rPr>
        <w:t>Diphtheria Antitoxin</w:t>
      </w:r>
      <w:r w:rsidRPr="009E2A54">
        <w:rPr>
          <w:u w:val="single"/>
        </w:rPr>
        <w:t xml:space="preserve"> Event</w:t>
      </w:r>
      <w:r w:rsidR="001B2562" w:rsidRPr="009E2A54">
        <w:rPr>
          <w:u w:val="single"/>
        </w:rPr>
        <w:t>, St. Louis, 1901</w:t>
      </w:r>
    </w:p>
    <w:p w14:paraId="3BEFD934" w14:textId="29BD1BD7" w:rsidR="00506080" w:rsidRDefault="00506080" w:rsidP="00C46BCE">
      <w:pPr>
        <w:spacing w:after="120"/>
        <w:ind w:firstLine="720"/>
      </w:pPr>
      <w:r>
        <w:t xml:space="preserve">[Most of the time, the story of the Biologics Control Act is presented </w:t>
      </w:r>
      <w:r w:rsidR="002846B5">
        <w:t>along the lines of</w:t>
      </w:r>
      <w:r>
        <w:t xml:space="preserve"> “In 1901, </w:t>
      </w:r>
      <w:r w:rsidR="0024194A">
        <w:t>22</w:t>
      </w:r>
      <w:r>
        <w:t xml:space="preserve"> children </w:t>
      </w:r>
      <w:r w:rsidR="0024194A">
        <w:t xml:space="preserve">died </w:t>
      </w:r>
      <w:r>
        <w:t>from tetanus caused by contaminated</w:t>
      </w:r>
      <w:r w:rsidR="002846B5">
        <w:t xml:space="preserve"> batches of</w:t>
      </w:r>
      <w:r>
        <w:t xml:space="preserve"> antiserum and vaccine, leading Congress to pass th</w:t>
      </w:r>
      <w:r w:rsidR="0024194A">
        <w:t>e</w:t>
      </w:r>
      <w:r>
        <w:t xml:space="preserve"> 1902</w:t>
      </w:r>
      <w:r w:rsidR="0024194A">
        <w:t xml:space="preserve"> Act</w:t>
      </w:r>
      <w:r>
        <w:t>.” Writers then discuss how the Act first gave FDA’s precursor regulatory authority over biologics or focus on the shortcomings of the Act’s licensing scheme. But a more complete retelling may suggest other points at which regulatory intervention is possible.</w:t>
      </w:r>
      <w:r w:rsidR="00C46BCE">
        <w:t xml:space="preserve"> The following will be Part I.A</w:t>
      </w:r>
      <w:r>
        <w:t>]</w:t>
      </w:r>
    </w:p>
    <w:p w14:paraId="5D532CCA" w14:textId="07CBABD9" w:rsidR="001B2562" w:rsidRDefault="001B2562" w:rsidP="001B2562">
      <w:pPr>
        <w:spacing w:after="120"/>
        <w:ind w:firstLine="720"/>
      </w:pPr>
      <w:r>
        <w:t>As late as the turn of the 20</w:t>
      </w:r>
      <w:r w:rsidRPr="00F97AF5">
        <w:rPr>
          <w:vertAlign w:val="superscript"/>
        </w:rPr>
        <w:t>th</w:t>
      </w:r>
      <w:r>
        <w:t xml:space="preserve"> century, infecti</w:t>
      </w:r>
      <w:r w:rsidR="002846B5">
        <w:t xml:space="preserve">ons </w:t>
      </w:r>
      <w:r>
        <w:t>such as tuberculosis and childhood diarrhea were among the leading of killers of people living in U.S. cities.</w:t>
      </w:r>
      <w:r>
        <w:rPr>
          <w:rStyle w:val="FootnoteReference"/>
        </w:rPr>
        <w:footnoteReference w:id="8"/>
      </w:r>
      <w:r>
        <w:t xml:space="preserve"> Diphtheria</w:t>
      </w:r>
      <w:r w:rsidR="002846B5">
        <w:t xml:space="preserve">, caused by a bacterium that secretes a toxin that causes a tough membrane to form in the nasopharyngeal tract, </w:t>
      </w:r>
      <w:r>
        <w:t>remained a particularly dread disease.</w:t>
      </w:r>
      <w:r>
        <w:rPr>
          <w:rStyle w:val="FootnoteReference"/>
        </w:rPr>
        <w:footnoteReference w:id="9"/>
      </w:r>
      <w:r>
        <w:t xml:space="preserve"> Between 1891 and 1894, diphtheria had an estimated mortality rate of over 39 percent and killed 51,820 in U.S. cities.</w:t>
      </w:r>
      <w:r>
        <w:rPr>
          <w:rStyle w:val="FootnoteReference"/>
        </w:rPr>
        <w:footnoteReference w:id="10"/>
      </w:r>
      <w:r>
        <w:t xml:space="preserve"> Parents were reported as being reduced to “watching their small children slowly die of suffocation from a persistent membrane, or bleeding to death from efforts to clear the throat.”</w:t>
      </w:r>
      <w:r>
        <w:rPr>
          <w:rStyle w:val="FootnoteReference"/>
        </w:rPr>
        <w:footnoteReference w:id="11"/>
      </w:r>
    </w:p>
    <w:p w14:paraId="5AEA2FAD" w14:textId="5FF589FD" w:rsidR="001B2562" w:rsidRDefault="001B2562" w:rsidP="001B2562">
      <w:pPr>
        <w:spacing w:after="120"/>
        <w:ind w:firstLine="720"/>
      </w:pPr>
      <w:r>
        <w:t xml:space="preserve">In 1883-1884, German bacteriologists Edwin Klebs and </w:t>
      </w:r>
      <w:r w:rsidRPr="00632A89">
        <w:t>Friedrich Loeffler</w:t>
      </w:r>
      <w:r>
        <w:t xml:space="preserve"> isolated the causative bacterium.</w:t>
      </w:r>
      <w:r>
        <w:rPr>
          <w:rStyle w:val="FootnoteReference"/>
        </w:rPr>
        <w:footnoteReference w:id="12"/>
      </w:r>
      <w:r>
        <w:t xml:space="preserve"> In 1888, </w:t>
      </w:r>
      <w:r w:rsidRPr="001E5E29">
        <w:t>Émile Roux and Alexandre Yersin</w:t>
      </w:r>
      <w:r>
        <w:t xml:space="preserve"> discovered that the pathologic effects of </w:t>
      </w:r>
      <w:r w:rsidRPr="001E5E29">
        <w:rPr>
          <w:i/>
          <w:iCs/>
        </w:rPr>
        <w:t>Corynebacterium diphtheriae</w:t>
      </w:r>
      <w:r>
        <w:t xml:space="preserve"> were caused by a toxin secreted by the bacterium.</w:t>
      </w:r>
      <w:r>
        <w:rPr>
          <w:rStyle w:val="FootnoteReference"/>
        </w:rPr>
        <w:footnoteReference w:id="13"/>
      </w:r>
      <w:r>
        <w:t xml:space="preserve"> In 1890, </w:t>
      </w:r>
      <w:r w:rsidRPr="00124A6F">
        <w:t xml:space="preserve">Emil </w:t>
      </w:r>
      <w:r>
        <w:t xml:space="preserve">von </w:t>
      </w:r>
      <w:r w:rsidRPr="00124A6F">
        <w:t xml:space="preserve">Behring and </w:t>
      </w:r>
      <w:proofErr w:type="spellStart"/>
      <w:r w:rsidRPr="00124A6F">
        <w:t>Shibasaburo</w:t>
      </w:r>
      <w:proofErr w:type="spellEnd"/>
      <w:r w:rsidRPr="00124A6F">
        <w:t xml:space="preserve"> Kitasato</w:t>
      </w:r>
      <w:r>
        <w:t xml:space="preserve"> demonstrated that by repeatedly injecting the toxin into small animals such as mice and guinea pigs, the animals developed a resistance to diphtheria and that serum extracted from their blood conferred a protective effect on other animals.</w:t>
      </w:r>
      <w:r>
        <w:rPr>
          <w:rStyle w:val="FootnoteReference"/>
        </w:rPr>
        <w:footnoteReference w:id="14"/>
      </w:r>
      <w:r>
        <w:t xml:space="preserve"> Just a decade after the causative agent for diphtheria had been isolated, von Behring published a report in1894 that injection of the antitoxin resulted in an overall cure rate of 77 percent in children exhibiting signs of the disease.</w:t>
      </w:r>
      <w:r>
        <w:rPr>
          <w:rStyle w:val="FootnoteReference"/>
        </w:rPr>
        <w:footnoteReference w:id="15"/>
      </w:r>
      <w:r>
        <w:t xml:space="preserve"> The same year, Roux and Louis Martin published the first detailed account of the methodology used in the preparation of the diphtheria toxin and its antitoxin serum</w:t>
      </w:r>
      <w:r w:rsidR="002846B5">
        <w:t xml:space="preserve"> in large quantities in horses</w:t>
      </w:r>
      <w:r>
        <w:t>.</w:t>
      </w:r>
      <w:r>
        <w:rPr>
          <w:rStyle w:val="FootnoteReference"/>
        </w:rPr>
        <w:footnoteReference w:id="16"/>
      </w:r>
    </w:p>
    <w:p w14:paraId="6533E812" w14:textId="68E6DFC9" w:rsidR="001B2562" w:rsidRDefault="001B2562" w:rsidP="001B2562">
      <w:pPr>
        <w:spacing w:after="120"/>
        <w:ind w:firstLine="720"/>
      </w:pPr>
      <w:r>
        <w:t>The antitoxin was brought to the United States that same year and, by the end of 1895, was said by Joseph Kinyoun, the director of the Marine Hospital (the precursor to the present day Public Health Service), to have “long passed its experimental stage.”</w:t>
      </w:r>
      <w:r>
        <w:rPr>
          <w:rStyle w:val="FootnoteReference"/>
        </w:rPr>
        <w:footnoteReference w:id="17"/>
      </w:r>
      <w:r>
        <w:t xml:space="preserve"> Outside of the Marine Hospital, large-scale antitoxin production was first undertaken by public health departments in New York, Washington D.C., Philadelphia, Boston, and other cities.</w:t>
      </w:r>
      <w:r>
        <w:rPr>
          <w:rStyle w:val="FootnoteReference"/>
        </w:rPr>
        <w:footnoteReference w:id="18"/>
      </w:r>
      <w:r>
        <w:t xml:space="preserve"> But in many cities, the funding provided for the production of diphtheria antitoxin was inadequate,</w:t>
      </w:r>
      <w:r>
        <w:rPr>
          <w:rStyle w:val="FootnoteReference"/>
        </w:rPr>
        <w:footnoteReference w:id="19"/>
      </w:r>
      <w:r>
        <w:t xml:space="preserve"> leading health department</w:t>
      </w:r>
      <w:r w:rsidR="004C612A">
        <w:t>s</w:t>
      </w:r>
      <w:r>
        <w:t xml:space="preserve"> to adopt cost-saving measures like </w:t>
      </w:r>
      <w:r w:rsidR="004C612A">
        <w:t>maintaining</w:t>
      </w:r>
      <w:r>
        <w:t xml:space="preserve">, inoculating, and collecting blood from horses stabled by city fire and police departments, </w:t>
      </w:r>
      <w:r w:rsidR="004C612A">
        <w:t>making</w:t>
      </w:r>
      <w:r>
        <w:t xml:space="preserve"> scrupulous sanitation measures difficult to ensure.</w:t>
      </w:r>
      <w:r>
        <w:rPr>
          <w:rStyle w:val="FootnoteReference"/>
        </w:rPr>
        <w:footnoteReference w:id="20"/>
      </w:r>
      <w:r>
        <w:t xml:space="preserve"> As well, </w:t>
      </w:r>
      <w:r w:rsidR="00FC3A15">
        <w:t>scrupulous sanitation</w:t>
      </w:r>
      <w:r>
        <w:t xml:space="preserve"> was </w:t>
      </w:r>
      <w:r w:rsidR="00FC3A15">
        <w:t xml:space="preserve">simultaneously </w:t>
      </w:r>
      <w:r>
        <w:t>crucial</w:t>
      </w:r>
      <w:r w:rsidR="00FC3A15" w:rsidRPr="00FC3A15">
        <w:t xml:space="preserve"> </w:t>
      </w:r>
      <w:r w:rsidR="00FC3A15">
        <w:t>to ensure the potency and safety of each batch of antitoxin</w:t>
      </w:r>
      <w:r>
        <w:t xml:space="preserve">, and challenging. </w:t>
      </w:r>
      <w:r w:rsidR="004C612A">
        <w:t>P</w:t>
      </w:r>
      <w:r>
        <w:t>otency was tested by injecting guinea pigs with a combination of toxin and different amounts of antitoxin, to establish the correct dosing.</w:t>
      </w:r>
      <w:r>
        <w:rPr>
          <w:rStyle w:val="FootnoteReference"/>
        </w:rPr>
        <w:footnoteReference w:id="21"/>
      </w:r>
      <w:r>
        <w:t xml:space="preserve"> This testing had a second benefi</w:t>
      </w:r>
      <w:r w:rsidR="004C612A">
        <w:t>t</w:t>
      </w:r>
      <w:r>
        <w:t>: it could detect contamination of a batch of diphtheria antiserum with other lethal infectious agents that lack of sterile technique or improper storage might cause.</w:t>
      </w:r>
      <w:r>
        <w:rPr>
          <w:rStyle w:val="FootnoteReference"/>
        </w:rPr>
        <w:footnoteReference w:id="22"/>
      </w:r>
      <w:r>
        <w:t xml:space="preserve"> The New York City Department of Public Health, under the direction of Willaim H. Park, developed deep expertise in the production of diphtheria antitoxin safely and at massive scale, becoming the nation’s largest source of antitoxin.</w:t>
      </w:r>
      <w:r>
        <w:rPr>
          <w:rStyle w:val="FootnoteReference"/>
        </w:rPr>
        <w:footnoteReference w:id="23"/>
      </w:r>
    </w:p>
    <w:p w14:paraId="135AEDC8" w14:textId="535BB0CF" w:rsidR="001B2562" w:rsidRDefault="001B2562" w:rsidP="001B2562">
      <w:pPr>
        <w:spacing w:after="120"/>
        <w:ind w:firstLine="720"/>
      </w:pPr>
      <w:r>
        <w:t>While public health agencies were the initial producers of diphtheria antitoxin in the United States, private drug companies sought to displace them as the main suppliers.</w:t>
      </w:r>
      <w:r>
        <w:rPr>
          <w:rStyle w:val="FootnoteReference"/>
        </w:rPr>
        <w:footnoteReference w:id="24"/>
      </w:r>
      <w:r>
        <w:t xml:space="preserve"> They used several different approaches. Commercial firms lobbied city governments to restrict funding for public health agency production.</w:t>
      </w:r>
      <w:r>
        <w:rPr>
          <w:rStyle w:val="FootnoteReference"/>
        </w:rPr>
        <w:footnoteReference w:id="25"/>
      </w:r>
      <w:r>
        <w:t xml:space="preserve"> They poached health agency officials who had gained expertise in biologic production methods.</w:t>
      </w:r>
      <w:r>
        <w:rPr>
          <w:rStyle w:val="FootnoteReference"/>
        </w:rPr>
        <w:footnoteReference w:id="26"/>
      </w:r>
      <w:r>
        <w:t xml:space="preserve"> And they descended on Park’s New York City laboratory to study the techniques used there.</w:t>
      </w:r>
      <w:r>
        <w:rPr>
          <w:rStyle w:val="FootnoteReference"/>
        </w:rPr>
        <w:footnoteReference w:id="27"/>
      </w:r>
      <w:r>
        <w:t xml:space="preserve"> By 1900, diphtheria antitoxin production was split between public health departments and two major private companies, H.K. Mulford and Parke Davis.</w:t>
      </w:r>
      <w:r>
        <w:rPr>
          <w:rStyle w:val="FootnoteReference"/>
        </w:rPr>
        <w:footnoteReference w:id="28"/>
      </w:r>
      <w:r>
        <w:t xml:space="preserve"> </w:t>
      </w:r>
    </w:p>
    <w:p w14:paraId="2260D312" w14:textId="40790C79" w:rsidR="001B2562" w:rsidRDefault="001B2562" w:rsidP="001B2562">
      <w:pPr>
        <w:spacing w:after="120"/>
        <w:ind w:firstLine="720"/>
      </w:pPr>
      <w:r>
        <w:t>Physicians</w:t>
      </w:r>
      <w:r w:rsidR="004C612A">
        <w:t xml:space="preserve"> in the United States</w:t>
      </w:r>
      <w:r>
        <w:t xml:space="preserve"> quickly adopted the use of diphtheria antitoxin to treat cases of diphtheria and as prophylaxis for children who had household exposures.</w:t>
      </w:r>
      <w:r>
        <w:rPr>
          <w:rStyle w:val="FootnoteReference"/>
        </w:rPr>
        <w:footnoteReference w:id="29"/>
      </w:r>
      <w:r>
        <w:t xml:space="preserve"> Several factors likely account for the rapid uptake. First, diphtheria was a lethal disease: fatality rates in one Paris hospital were reported as 56 percent,</w:t>
      </w:r>
      <w:r>
        <w:rPr>
          <w:rStyle w:val="FootnoteReference"/>
        </w:rPr>
        <w:footnoteReference w:id="30"/>
      </w:r>
      <w:r>
        <w:t xml:space="preserve"> while in the United States one pharmaceutical company claimed </w:t>
      </w:r>
      <w:r w:rsidRPr="00792B2B">
        <w:t>fatality</w:t>
      </w:r>
      <w:r>
        <w:t xml:space="preserve"> </w:t>
      </w:r>
      <w:r w:rsidRPr="00792B2B">
        <w:t>rates of 34.8 to 62.5</w:t>
      </w:r>
      <w:r>
        <w:t xml:space="preserve"> percent.</w:t>
      </w:r>
      <w:r>
        <w:rPr>
          <w:rStyle w:val="FootnoteReference"/>
        </w:rPr>
        <w:footnoteReference w:id="31"/>
      </w:r>
      <w:r>
        <w:t xml:space="preserve"> Not only was it lethal, but its reach fell predominantly on children, whose parents were reported to be reduced to “watching their small children slowly die of suffocation.”</w:t>
      </w:r>
      <w:r>
        <w:rPr>
          <w:rStyle w:val="FootnoteReference"/>
        </w:rPr>
        <w:footnoteReference w:id="32"/>
      </w:r>
      <w:r>
        <w:t xml:space="preserve"> Second, prior to the development of the antiserum, no effective treatments had existed.</w:t>
      </w:r>
      <w:r>
        <w:rPr>
          <w:rStyle w:val="FootnoteReference"/>
        </w:rPr>
        <w:footnoteReference w:id="33"/>
      </w:r>
      <w:r>
        <w:t xml:space="preserve"> Surgical intubation had been used successfully in some cases, and application of topical disinfectants such as “</w:t>
      </w:r>
      <w:proofErr w:type="spellStart"/>
      <w:r w:rsidRPr="001F0078">
        <w:t>glycerine</w:t>
      </w:r>
      <w:proofErr w:type="spellEnd"/>
      <w:r w:rsidRPr="001F0078">
        <w:t xml:space="preserve"> and salicylic acid, and washing with calomel, or with boric and phenolic acid</w:t>
      </w:r>
      <w:r>
        <w:t>” had been reported,</w:t>
      </w:r>
      <w:r>
        <w:rPr>
          <w:rStyle w:val="FootnoteReference"/>
        </w:rPr>
        <w:footnoteReference w:id="34"/>
      </w:r>
      <w:r>
        <w:t xml:space="preserve"> but none had reduced the overall mortality rate. In </w:t>
      </w:r>
      <w:r w:rsidR="004C612A">
        <w:t>many cities, health officials</w:t>
      </w:r>
      <w:r>
        <w:t xml:space="preserve"> focused on isolating cases and their contacts to prevent transmission.</w:t>
      </w:r>
      <w:r>
        <w:rPr>
          <w:rStyle w:val="FootnoteReference"/>
        </w:rPr>
        <w:footnoteReference w:id="35"/>
      </w:r>
      <w:r>
        <w:t xml:space="preserve"> Third, there was at least some basis for concluding that treatment with the antitoxin was effective: In addition to von Behring’s reported cure rate of 77 percent,</w:t>
      </w:r>
      <w:r>
        <w:rPr>
          <w:rStyle w:val="FootnoteReference"/>
        </w:rPr>
        <w:footnoteReference w:id="36"/>
      </w:r>
      <w:r>
        <w:t xml:space="preserve"> Roux had published the experience in his Paris, claiming a decrease in mortality from 56% before the antitoxin was available to 24% after,</w:t>
      </w:r>
      <w:r>
        <w:rPr>
          <w:rStyle w:val="FootnoteReference"/>
        </w:rPr>
        <w:footnoteReference w:id="37"/>
      </w:r>
      <w:r>
        <w:t xml:space="preserve"> and one U.S. manufacturer claimed its antitoxin reduced mortality from </w:t>
      </w:r>
      <w:r w:rsidRPr="00DB761A">
        <w:t xml:space="preserve">34.8 to 62.5 </w:t>
      </w:r>
      <w:r>
        <w:t xml:space="preserve">percent </w:t>
      </w:r>
      <w:r w:rsidRPr="00DB761A">
        <w:t xml:space="preserve">without </w:t>
      </w:r>
      <w:r>
        <w:t>treatment to</w:t>
      </w:r>
      <w:r w:rsidRPr="00DB761A">
        <w:t xml:space="preserve"> 4.6 to 17.6</w:t>
      </w:r>
      <w:r>
        <w:t xml:space="preserve"> percent with treatment.</w:t>
      </w:r>
      <w:r>
        <w:rPr>
          <w:rStyle w:val="FootnoteReference"/>
        </w:rPr>
        <w:footnoteReference w:id="38"/>
      </w:r>
      <w:r>
        <w:t xml:space="preserve"> Fourth, distinguishing early presentations of diphtheria from other, less serious infections was impossible based on symptoms and physician examination alone; as a result, both public health departments and commercial manufacturers advised physicians to administer the antitoxin early and liberally.</w:t>
      </w:r>
      <w:r>
        <w:rPr>
          <w:rStyle w:val="FootnoteReference"/>
        </w:rPr>
        <w:footnoteReference w:id="39"/>
      </w:r>
      <w:r>
        <w:t xml:space="preserve"> And fifth, pharmaceutical company marketing was highly successful at driving physician adoption of antitoxins at treatment of and prophylaxis.</w:t>
      </w:r>
      <w:r>
        <w:rPr>
          <w:rStyle w:val="FootnoteReference"/>
        </w:rPr>
        <w:footnoteReference w:id="40"/>
      </w:r>
    </w:p>
    <w:p w14:paraId="778E22F7" w14:textId="4DECF8C5" w:rsidR="001B2562" w:rsidRDefault="001B2562" w:rsidP="001B2562">
      <w:pPr>
        <w:spacing w:after="120"/>
        <w:ind w:firstLine="720"/>
      </w:pPr>
      <w:r>
        <w:t xml:space="preserve">Physicians indeed seemed to be acting as though they were assured that manufacturers would </w:t>
      </w:r>
      <w:r w:rsidR="004C612A">
        <w:t>ensure</w:t>
      </w:r>
      <w:r>
        <w:t xml:space="preserve"> that the antitoxins were not contaminated with tetanus and other organisms and that the potency of each batch was reliably established.</w:t>
      </w:r>
      <w:r>
        <w:rPr>
          <w:rStyle w:val="FootnoteReference"/>
        </w:rPr>
        <w:footnoteReference w:id="41"/>
      </w:r>
      <w:r>
        <w:t xml:space="preserve"> In fact, in spite of the well-recognized dangers of contamination and poorly-ascertained potency, quality control and testing of antitoxins was left almost entirely in the hands of the producers.</w:t>
      </w:r>
      <w:r>
        <w:rPr>
          <w:rStyle w:val="FootnoteReference"/>
        </w:rPr>
        <w:footnoteReference w:id="42"/>
      </w:r>
      <w:r>
        <w:t xml:space="preserve"> </w:t>
      </w:r>
      <w:r w:rsidR="004C612A">
        <w:t>And m</w:t>
      </w:r>
      <w:r>
        <w:t>any producers, mainly public health agencies, were underfunded and understaffed.</w:t>
      </w:r>
      <w:r>
        <w:rPr>
          <w:rStyle w:val="FootnoteReference"/>
        </w:rPr>
        <w:footnoteReference w:id="43"/>
      </w:r>
      <w:r>
        <w:t xml:space="preserve"> </w:t>
      </w:r>
    </w:p>
    <w:p w14:paraId="56C547F5" w14:textId="28E48270" w:rsidR="001B2562" w:rsidRDefault="001B2562" w:rsidP="00A2078A">
      <w:pPr>
        <w:spacing w:after="120"/>
        <w:ind w:firstLine="720"/>
      </w:pPr>
      <w:r>
        <w:t xml:space="preserve">In St. Louis, production and use of diphtheria antitoxin </w:t>
      </w:r>
      <w:r w:rsidR="005F7551">
        <w:t xml:space="preserve">by the city health department </w:t>
      </w:r>
      <w:r>
        <w:t>began at least as early as 1896.</w:t>
      </w:r>
      <w:r>
        <w:rPr>
          <w:rStyle w:val="FootnoteReference"/>
        </w:rPr>
        <w:footnoteReference w:id="44"/>
      </w:r>
      <w:r>
        <w:t xml:space="preserve"> </w:t>
      </w:r>
      <w:r w:rsidR="004C612A">
        <w:t>Local p</w:t>
      </w:r>
      <w:r w:rsidR="00A2078A">
        <w:t>hysicia</w:t>
      </w:r>
      <w:r w:rsidR="004C612A">
        <w:t xml:space="preserve">ns quickly adopted the use </w:t>
      </w:r>
      <w:r w:rsidR="00A2078A">
        <w:t>of antitoxin as a treatment for diagnosed and suspected cases of diphtheria, and as a prophylactic measure for household exposures</w:t>
      </w:r>
      <w:r w:rsidR="004C612A">
        <w:t>,</w:t>
      </w:r>
      <w:r w:rsidR="00A2078A">
        <w:t xml:space="preserve"> to the extent that the city’s health department struggled to meet the demand.</w:t>
      </w:r>
      <w:r w:rsidR="00A2078A">
        <w:rPr>
          <w:rStyle w:val="FootnoteReference"/>
        </w:rPr>
        <w:footnoteReference w:id="45"/>
      </w:r>
      <w:r w:rsidR="00A2078A">
        <w:t xml:space="preserve"> [Contemporary sources with numbers of doses administered will go here.]</w:t>
      </w:r>
      <w:r w:rsidR="005F7551">
        <w:t xml:space="preserve"> </w:t>
      </w:r>
    </w:p>
    <w:p w14:paraId="696673F8" w14:textId="2420B128" w:rsidR="001B2562" w:rsidRDefault="001B2562" w:rsidP="001B2562">
      <w:pPr>
        <w:spacing w:after="120"/>
        <w:ind w:firstLine="720"/>
      </w:pPr>
      <w:r>
        <w:t>A part-time bacteriologist at the city’s Health Department and a janitor used horses stabled on the grounds of a poor house to produce diphtheria antitoxin.</w:t>
      </w:r>
      <w:r>
        <w:rPr>
          <w:rStyle w:val="FootnoteReference"/>
        </w:rPr>
        <w:footnoteReference w:id="46"/>
      </w:r>
      <w:r>
        <w:t xml:space="preserve"> One of those horses, Jim, developed tetanus a few days after last being bled and was euthanized.</w:t>
      </w:r>
      <w:r>
        <w:rPr>
          <w:rStyle w:val="FootnoteReference"/>
        </w:rPr>
        <w:footnoteReference w:id="47"/>
      </w:r>
      <w:r>
        <w:t xml:space="preserve"> Accounts of what happened next vary, with some describing t</w:t>
      </w:r>
      <w:r w:rsidR="004C612A">
        <w:t>he batch of</w:t>
      </w:r>
      <w:r>
        <w:t xml:space="preserve"> serum produced from Jim’s last bleeding as being accidentally bottled and distributed</w:t>
      </w:r>
      <w:r>
        <w:rPr>
          <w:rStyle w:val="FootnoteReference"/>
        </w:rPr>
        <w:footnoteReference w:id="48"/>
      </w:r>
      <w:r>
        <w:t xml:space="preserve"> while others suggest a more deliberate, falsified labelling </w:t>
      </w:r>
      <w:r w:rsidR="004C612A">
        <w:t>that</w:t>
      </w:r>
      <w:r>
        <w:t xml:space="preserve"> indicate</w:t>
      </w:r>
      <w:r w:rsidR="004C612A">
        <w:t>d</w:t>
      </w:r>
      <w:r>
        <w:t xml:space="preserve"> an earlier blood draw </w:t>
      </w:r>
      <w:r w:rsidR="004C612A">
        <w:t>(before tetanus would have been present in Jim’s blood)</w:t>
      </w:r>
      <w:r>
        <w:t>.</w:t>
      </w:r>
      <w:r>
        <w:rPr>
          <w:rStyle w:val="FootnoteReference"/>
        </w:rPr>
        <w:footnoteReference w:id="49"/>
      </w:r>
      <w:r>
        <w:t xml:space="preserve"> At a subsequent inquest, there was testimony that there </w:t>
      </w:r>
      <w:r w:rsidR="004C612A">
        <w:t>had been</w:t>
      </w:r>
      <w:r>
        <w:t xml:space="preserve"> few if any guinea pigs available on which to test this particular batch of antitoxin.</w:t>
      </w:r>
      <w:r>
        <w:rPr>
          <w:rStyle w:val="FootnoteReference"/>
        </w:rPr>
        <w:footnoteReference w:id="50"/>
      </w:r>
      <w:r>
        <w:t xml:space="preserve"> There was also testimony that the department had been shipping the batches too soon after collection for testing to reveal contamination and potency problems.</w:t>
      </w:r>
      <w:r>
        <w:rPr>
          <w:rStyle w:val="FootnoteReference"/>
        </w:rPr>
        <w:footnoteReference w:id="51"/>
      </w:r>
    </w:p>
    <w:p w14:paraId="1A7BD580" w14:textId="487EABAC" w:rsidR="001B2562" w:rsidRDefault="001B2562" w:rsidP="005F7551">
      <w:pPr>
        <w:spacing w:after="120"/>
        <w:ind w:firstLine="720"/>
      </w:pPr>
      <w:r>
        <w:t xml:space="preserve">There is, unfortunately, little dispute over what happened next. </w:t>
      </w:r>
      <w:r w:rsidR="005F7551">
        <w:t xml:space="preserve">On October 26, a </w:t>
      </w:r>
      <w:r w:rsidR="004C612A">
        <w:t>five-year-old</w:t>
      </w:r>
      <w:r w:rsidR="005F7551">
        <w:t xml:space="preserve"> girl died in the City Hospital after having been treated with a batch of antitoxin.</w:t>
      </w:r>
      <w:r w:rsidR="005F7551">
        <w:rPr>
          <w:rStyle w:val="FootnoteReference"/>
        </w:rPr>
        <w:footnoteReference w:id="52"/>
      </w:r>
      <w:r w:rsidR="005F7551">
        <w:t xml:space="preserve"> Three more deaths of children occurred under similar circumstances over the next four days.</w:t>
      </w:r>
      <w:r w:rsidR="005F7551">
        <w:rPr>
          <w:rStyle w:val="FootnoteReference"/>
        </w:rPr>
        <w:footnoteReference w:id="53"/>
      </w:r>
      <w:r w:rsidR="005F7551">
        <w:t xml:space="preserve"> By then, health officials suspected the cause was tetanus contamination. </w:t>
      </w:r>
      <w:r>
        <w:t xml:space="preserve">Ultimately, thirteen children died of tetanus, including </w:t>
      </w:r>
      <w:r w:rsidR="005F7551">
        <w:t>some</w:t>
      </w:r>
      <w:r>
        <w:t xml:space="preserve"> who ha</w:t>
      </w:r>
      <w:r w:rsidR="005F7551">
        <w:t>d</w:t>
      </w:r>
      <w:r>
        <w:t xml:space="preserve"> been injected prophylactically, not therapeutically.</w:t>
      </w:r>
      <w:r>
        <w:rPr>
          <w:rStyle w:val="FootnoteReference"/>
        </w:rPr>
        <w:footnoteReference w:id="54"/>
      </w:r>
    </w:p>
    <w:p w14:paraId="1F6180DC" w14:textId="2C4403F3" w:rsidR="003B1EEE" w:rsidRDefault="001B2562" w:rsidP="0017045E">
      <w:pPr>
        <w:spacing w:after="120"/>
        <w:ind w:firstLine="720"/>
      </w:pPr>
      <w:r>
        <w:t xml:space="preserve">The </w:t>
      </w:r>
      <w:r w:rsidR="00FC3A15">
        <w:t xml:space="preserve">deaths of these children in </w:t>
      </w:r>
      <w:r>
        <w:t>St. Louis and the ensuing investigation into its cause were widely reported.</w:t>
      </w:r>
      <w:r>
        <w:rPr>
          <w:rStyle w:val="FootnoteReference"/>
        </w:rPr>
        <w:footnoteReference w:id="55"/>
      </w:r>
      <w:r>
        <w:t xml:space="preserve"> </w:t>
      </w:r>
      <w:r w:rsidR="0029610D">
        <w:t>Even as the numbers of deaths and cases of tetanus traceable to the contaminated antiserum mounted, some physicians and public health officials continued to express support for continued use.</w:t>
      </w:r>
      <w:r w:rsidR="0029610D">
        <w:rPr>
          <w:rStyle w:val="FootnoteReference"/>
        </w:rPr>
        <w:footnoteReference w:id="56"/>
      </w:r>
      <w:r w:rsidR="0029610D">
        <w:t xml:space="preserve"> On November 5, the city’s health commissioner publicly </w:t>
      </w:r>
      <w:r w:rsidR="004C612A">
        <w:t>argued</w:t>
      </w:r>
      <w:r w:rsidR="0029610D">
        <w:t xml:space="preserve"> that use of diphtheria antiserum had decreased the morality rate of diphtheria cases from 32-45% to 6-8%.</w:t>
      </w:r>
      <w:r w:rsidR="0029610D">
        <w:rPr>
          <w:rStyle w:val="FootnoteReference"/>
        </w:rPr>
        <w:footnoteReference w:id="57"/>
      </w:r>
      <w:r w:rsidR="0029610D">
        <w:t xml:space="preserve"> The report by a bacteriologist in the </w:t>
      </w:r>
      <w:r w:rsidR="00AB5C42">
        <w:t>City Chemist’s Office on November 8 that no tetanus bacilli could be cultured from the antiserum batch in question added further confusion, as did the public testimony of several physicians who had administered doses from that batch and had observed no ill effects.</w:t>
      </w:r>
      <w:r w:rsidR="00AB5C42">
        <w:rPr>
          <w:rStyle w:val="FootnoteReference"/>
        </w:rPr>
        <w:footnoteReference w:id="58"/>
      </w:r>
      <w:r w:rsidR="0029610D">
        <w:t xml:space="preserve"> </w:t>
      </w:r>
      <w:r w:rsidR="00AB5C42">
        <w:t>Even after the city Coroner’s November 20 report, which concluded that a tetanus-contaminated batch of antiserum had caused the 13 deaths, the mayor and city health officials</w:t>
      </w:r>
      <w:r w:rsidR="004C612A">
        <w:t xml:space="preserve"> </w:t>
      </w:r>
      <w:r w:rsidR="00AB5C42">
        <w:t>disputed the findings.</w:t>
      </w:r>
      <w:r w:rsidR="00AB5C42">
        <w:rPr>
          <w:rStyle w:val="FootnoteReference"/>
        </w:rPr>
        <w:footnoteReference w:id="59"/>
      </w:r>
      <w:r w:rsidR="00AB5C42">
        <w:t xml:space="preserve"> It was not until the end of November that more definitive proof of the causal link emerged, after testimony</w:t>
      </w:r>
      <w:r w:rsidR="004C612A">
        <w:t xml:space="preserve"> at an inquest</w:t>
      </w:r>
      <w:r w:rsidR="00AB5C42">
        <w:t xml:space="preserve"> established that the batch of antiserum linked to the deaths had been collected from the tetanus-infected horse Jim, had not been tested, and had been distributed even though </w:t>
      </w:r>
      <w:r w:rsidR="00C26381">
        <w:t>Health Department bacteriologist tasked with producing the antitoxin had learned about Jim’s tetanus infection.</w:t>
      </w:r>
      <w:r w:rsidR="00C26381">
        <w:rPr>
          <w:rStyle w:val="FootnoteReference"/>
        </w:rPr>
        <w:footnoteReference w:id="60"/>
      </w:r>
    </w:p>
    <w:p w14:paraId="08548918" w14:textId="77777777" w:rsidR="004C612A" w:rsidRDefault="004C612A" w:rsidP="0017045E">
      <w:pPr>
        <w:spacing w:after="120"/>
        <w:ind w:firstLine="720"/>
      </w:pPr>
    </w:p>
    <w:p w14:paraId="03EC7270" w14:textId="55BD976F" w:rsidR="004C612A" w:rsidRDefault="004C612A" w:rsidP="0017045E">
      <w:pPr>
        <w:spacing w:after="120"/>
        <w:ind w:firstLine="720"/>
      </w:pPr>
      <w:r>
        <w:t>[I think there are many takeaways here:</w:t>
      </w:r>
    </w:p>
    <w:p w14:paraId="4A4823C1" w14:textId="68FC3936" w:rsidR="004C612A" w:rsidRDefault="004C612A" w:rsidP="00B50725">
      <w:pPr>
        <w:pStyle w:val="ListParagraph"/>
        <w:numPr>
          <w:ilvl w:val="0"/>
          <w:numId w:val="1"/>
        </w:numPr>
        <w:spacing w:after="120"/>
      </w:pPr>
      <w:r>
        <w:t xml:space="preserve">The </w:t>
      </w:r>
      <w:r w:rsidR="00B50725">
        <w:t>antiserum</w:t>
      </w:r>
      <w:r>
        <w:t xml:space="preserve"> </w:t>
      </w:r>
      <w:r w:rsidR="00B50725">
        <w:t>was the result of rapid technological innovation—just 17 years elapsed between the isolation of the causative bacterium and the 1901 event.</w:t>
      </w:r>
    </w:p>
    <w:p w14:paraId="227F1062" w14:textId="239837EA" w:rsidR="00B50725" w:rsidRDefault="00B50725" w:rsidP="00B50725">
      <w:pPr>
        <w:pStyle w:val="ListParagraph"/>
        <w:numPr>
          <w:ilvl w:val="0"/>
          <w:numId w:val="1"/>
        </w:numPr>
        <w:spacing w:after="120"/>
      </w:pPr>
      <w:r>
        <w:t>The antiserum was a transformative innovation, making it possible for the first time to cure a highly fatal disease.</w:t>
      </w:r>
    </w:p>
    <w:p w14:paraId="51A9E6B0" w14:textId="77777777" w:rsidR="00B50725" w:rsidRDefault="00B50725" w:rsidP="00B50725">
      <w:pPr>
        <w:pStyle w:val="ListParagraph"/>
        <w:numPr>
          <w:ilvl w:val="0"/>
          <w:numId w:val="1"/>
        </w:numPr>
        <w:spacing w:after="120"/>
      </w:pPr>
      <w:r>
        <w:t xml:space="preserve">Physician adoption and widespread prescribing of the antiserum was very rapid. </w:t>
      </w:r>
    </w:p>
    <w:p w14:paraId="1A314A8D" w14:textId="7178B5F2" w:rsidR="00B50725" w:rsidRDefault="00B50725" w:rsidP="00B50725">
      <w:pPr>
        <w:pStyle w:val="ListParagraph"/>
        <w:numPr>
          <w:ilvl w:val="0"/>
          <w:numId w:val="1"/>
        </w:numPr>
        <w:spacing w:after="120"/>
      </w:pPr>
      <w:r>
        <w:t xml:space="preserve">Factors that likely promoted </w:t>
      </w:r>
      <w:proofErr w:type="gramStart"/>
      <w:r>
        <w:t>rapid physician</w:t>
      </w:r>
      <w:proofErr w:type="gramEnd"/>
      <w:r>
        <w:t xml:space="preserve"> adoption included the highly fatal nature of the disease, the absence of effective treatments, the highly</w:t>
      </w:r>
      <w:r w:rsidRPr="00B50725">
        <w:t xml:space="preserve"> </w:t>
      </w:r>
      <w:r>
        <w:t>visible and sympathy-inducing victims (children), the product having some degree of scientific patina, and aggressive advertising by private industry.</w:t>
      </w:r>
    </w:p>
    <w:p w14:paraId="4EB85740" w14:textId="77777777" w:rsidR="00B50725" w:rsidRDefault="00B50725" w:rsidP="00B50725">
      <w:pPr>
        <w:pStyle w:val="ListParagraph"/>
        <w:numPr>
          <w:ilvl w:val="0"/>
          <w:numId w:val="1"/>
        </w:numPr>
        <w:spacing w:after="120"/>
      </w:pPr>
      <w:r>
        <w:t>Production and regulation of the antiserum was vigorously opposed by industry (I will expand on this aspect of the story), leading to funding shortages that compromised both.</w:t>
      </w:r>
    </w:p>
    <w:p w14:paraId="0A48958E" w14:textId="67DF9FF7" w:rsidR="00B50725" w:rsidRDefault="00B50725" w:rsidP="00B50725">
      <w:pPr>
        <w:pStyle w:val="ListParagraph"/>
        <w:numPr>
          <w:ilvl w:val="0"/>
          <w:numId w:val="1"/>
        </w:numPr>
        <w:spacing w:after="120"/>
      </w:pPr>
      <w:r>
        <w:t xml:space="preserve">Poor quality control in manufacturing </w:t>
      </w:r>
      <w:proofErr w:type="gramStart"/>
      <w:r>
        <w:t>process</w:t>
      </w:r>
      <w:proofErr w:type="gramEnd"/>
      <w:r>
        <w:t>.</w:t>
      </w:r>
    </w:p>
    <w:p w14:paraId="70069298" w14:textId="2FF11A01" w:rsidR="00B50725" w:rsidRDefault="00B50725" w:rsidP="00B50725">
      <w:pPr>
        <w:pStyle w:val="ListParagraph"/>
        <w:numPr>
          <w:ilvl w:val="0"/>
          <w:numId w:val="1"/>
        </w:numPr>
        <w:spacing w:after="120"/>
      </w:pPr>
      <w:r>
        <w:t>Physician persistence in using a product despite evidence of compromised safety.</w:t>
      </w:r>
    </w:p>
    <w:p w14:paraId="15403323" w14:textId="6A19BADE" w:rsidR="001C58EB" w:rsidRDefault="00B50725" w:rsidP="00544255">
      <w:pPr>
        <w:pStyle w:val="ListParagraph"/>
        <w:numPr>
          <w:ilvl w:val="0"/>
          <w:numId w:val="1"/>
        </w:numPr>
      </w:pPr>
      <w:r>
        <w:t>Limited if any regulatory premarket oversight and limited regulation of the production</w:t>
      </w:r>
      <w:r w:rsidR="00187CE1">
        <w:t>, testing, and distribution</w:t>
      </w:r>
      <w:r>
        <w:t xml:space="preserve"> of the antiserum</w:t>
      </w:r>
      <w:r w:rsidR="00187CE1">
        <w:t>.]</w:t>
      </w:r>
    </w:p>
    <w:sectPr w:rsidR="001C58EB" w:rsidSect="0017045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4410" w14:textId="77777777" w:rsidR="00737C9D" w:rsidRDefault="00737C9D" w:rsidP="007D5230">
      <w:pPr>
        <w:spacing w:line="240" w:lineRule="auto"/>
      </w:pPr>
      <w:r>
        <w:separator/>
      </w:r>
    </w:p>
  </w:endnote>
  <w:endnote w:type="continuationSeparator" w:id="0">
    <w:p w14:paraId="5EA810CC" w14:textId="77777777" w:rsidR="00737C9D" w:rsidRDefault="00737C9D" w:rsidP="007D5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206758"/>
      <w:docPartObj>
        <w:docPartGallery w:val="Page Numbers (Bottom of Page)"/>
        <w:docPartUnique/>
      </w:docPartObj>
    </w:sdtPr>
    <w:sdtContent>
      <w:sdt>
        <w:sdtPr>
          <w:id w:val="1728636285"/>
          <w:docPartObj>
            <w:docPartGallery w:val="Page Numbers (Top of Page)"/>
            <w:docPartUnique/>
          </w:docPartObj>
        </w:sdtPr>
        <w:sdtContent>
          <w:p w14:paraId="6CC12430" w14:textId="317A8AF3" w:rsidR="0017045E" w:rsidRDefault="0017045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BFEC74D" w14:textId="77777777" w:rsidR="0017045E" w:rsidRDefault="00170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95D8" w14:textId="77777777" w:rsidR="00737C9D" w:rsidRDefault="00737C9D" w:rsidP="007D5230">
      <w:pPr>
        <w:spacing w:line="240" w:lineRule="auto"/>
      </w:pPr>
      <w:r>
        <w:separator/>
      </w:r>
    </w:p>
  </w:footnote>
  <w:footnote w:type="continuationSeparator" w:id="0">
    <w:p w14:paraId="756FF1FD" w14:textId="77777777" w:rsidR="00737C9D" w:rsidRDefault="00737C9D" w:rsidP="007D5230">
      <w:pPr>
        <w:spacing w:line="240" w:lineRule="auto"/>
      </w:pPr>
      <w:r>
        <w:continuationSeparator/>
      </w:r>
    </w:p>
  </w:footnote>
  <w:footnote w:id="1">
    <w:p w14:paraId="0CBCFFEB" w14:textId="20630F60" w:rsidR="003B47E4" w:rsidRDefault="003B47E4">
      <w:pPr>
        <w:pStyle w:val="FootnoteText"/>
      </w:pPr>
      <w:r>
        <w:rPr>
          <w:rStyle w:val="FootnoteReference"/>
        </w:rPr>
        <w:footnoteRef/>
      </w:r>
      <w:r>
        <w:t xml:space="preserve"> I’m trying to find a good descriptive term for the events I’m discussing. “</w:t>
      </w:r>
      <w:proofErr w:type="spellStart"/>
      <w:proofErr w:type="gramStart"/>
      <w:r>
        <w:t>Pubic</w:t>
      </w:r>
      <w:proofErr w:type="spellEnd"/>
      <w:proofErr w:type="gramEnd"/>
      <w:r>
        <w:t xml:space="preserve"> health disasters</w:t>
      </w:r>
      <w:r w:rsidR="001F32DE">
        <w:t>,</w:t>
      </w:r>
      <w:r>
        <w:t>”</w:t>
      </w:r>
      <w:r w:rsidR="001F32DE">
        <w:t xml:space="preserve"> a term that is sometimes used,</w:t>
      </w:r>
      <w:r>
        <w:t xml:space="preserve"> seems too broad, in that it </w:t>
      </w:r>
      <w:r w:rsidR="008D70CC">
        <w:t xml:space="preserve">also </w:t>
      </w:r>
      <w:r>
        <w:t>encompasses contagions/epidemics/pandemics, CBRN attacks, widespread chronic diseases</w:t>
      </w:r>
      <w:r w:rsidR="001F32DE">
        <w:t>, and other items</w:t>
      </w:r>
      <w:r>
        <w:t>.</w:t>
      </w:r>
    </w:p>
  </w:footnote>
  <w:footnote w:id="2">
    <w:p w14:paraId="6D59B650" w14:textId="03A7ED19" w:rsidR="00897E10" w:rsidRDefault="00897E10">
      <w:pPr>
        <w:pStyle w:val="FootnoteText"/>
      </w:pPr>
      <w:r>
        <w:rPr>
          <w:rStyle w:val="FootnoteReference"/>
        </w:rPr>
        <w:footnoteRef/>
      </w:r>
      <w:r>
        <w:t xml:space="preserve"> I need to decide whether/how to address the other two major expansions to federal regulation of medical products: The 1906 Pure Food &amp; Drugs Act (momentum for the passage of which is attributed largely to </w:t>
      </w:r>
      <w:r w:rsidRPr="00897E10">
        <w:t xml:space="preserve">Samuel Hopkins Adams’s series </w:t>
      </w:r>
      <w:r>
        <w:t xml:space="preserve">of articles in Collier’s Magazine </w:t>
      </w:r>
      <w:r w:rsidRPr="00897E10">
        <w:t>titled “The Great American Fraud</w:t>
      </w:r>
      <w:r>
        <w:t>,</w:t>
      </w:r>
      <w:r w:rsidRPr="00897E10">
        <w:t>”</w:t>
      </w:r>
      <w:r>
        <w:t xml:space="preserve"> which detailed the ineffectiveness and harmfulness of many patent medicines and to Upton Sinclair’s </w:t>
      </w:r>
      <w:r w:rsidRPr="00897E10">
        <w:rPr>
          <w:i/>
          <w:iCs/>
        </w:rPr>
        <w:t>The Jungle</w:t>
      </w:r>
      <w:r>
        <w:t>, which presented a fictionalized account of conditions in the Chicago meatpacking industry) and the 1962 Kefauver-Harris Amendments (passage of which is often attributed to FDA official Franc</w:t>
      </w:r>
      <w:r w:rsidR="003B47E4">
        <w:t xml:space="preserve">es Kelsey’s refusal to approve the teratogen thalidomide for sale in the United States). The 1906 Act conferred post-market authority on federal agencies included FDA’s precursor, the Bureau of Chemistry; the 1962 Act transformed FDA drug regulation into a true premarket approval system and required manufacturers to submit evidence of efficacy as well as safety </w:t>
      </w:r>
      <w:proofErr w:type="gramStart"/>
      <w:r w:rsidR="003B47E4">
        <w:t>in order to</w:t>
      </w:r>
      <w:proofErr w:type="gramEnd"/>
      <w:r w:rsidR="003B47E4">
        <w:t xml:space="preserve"> gain approval.</w:t>
      </w:r>
    </w:p>
  </w:footnote>
  <w:footnote w:id="3">
    <w:p w14:paraId="1A184726" w14:textId="68E77BED" w:rsidR="007D5230" w:rsidRDefault="007D5230">
      <w:pPr>
        <w:pStyle w:val="FootnoteText"/>
      </w:pPr>
      <w:r>
        <w:rPr>
          <w:rStyle w:val="FootnoteReference"/>
        </w:rPr>
        <w:footnoteRef/>
      </w:r>
      <w:r>
        <w:t xml:space="preserve"> Other potential case studies include metal-on-metal hip prostheses (</w:t>
      </w:r>
      <w:r w:rsidR="00C7485B">
        <w:t xml:space="preserve">like the more than 50,000 </w:t>
      </w:r>
      <w:r>
        <w:t>DePuy ASR</w:t>
      </w:r>
      <w:r w:rsidR="00C7485B">
        <w:t xml:space="preserve"> and related devices that were implanted into U.S. patients and that were documented to have caused elevated blood levels of cobalt and chromium which can lead to cancer, heart failure, and fetal malformations</w:t>
      </w:r>
      <w:r>
        <w:t>) and power morcellators (a family of immersion blender-like devices used in minimally invasive hysterectomies that risked spreading undiagnosed uterine cancers, exposing</w:t>
      </w:r>
      <w:r w:rsidR="00C7485B">
        <w:t xml:space="preserve"> thousands of women to an iatrogenic risk of metastatic uterine cancer annually over a period of more than twenty years).</w:t>
      </w:r>
    </w:p>
  </w:footnote>
  <w:footnote w:id="4">
    <w:p w14:paraId="4E0D637C" w14:textId="2C64462D" w:rsidR="0031171F" w:rsidRDefault="0031171F">
      <w:pPr>
        <w:pStyle w:val="FootnoteText"/>
      </w:pPr>
      <w:r>
        <w:rPr>
          <w:rStyle w:val="FootnoteReference"/>
        </w:rPr>
        <w:footnoteRef/>
      </w:r>
      <w:r>
        <w:t xml:space="preserve"> I’m </w:t>
      </w:r>
      <w:r w:rsidR="006026E7">
        <w:t>using “pre-regulatory” and “regulatory era” as very imprecise placeholders. At this point, I’m using pre-regulatory to mean ‘before the regulatory framework as it exists now,’ the last step in the evolution of which was the Medical Device Amendments of 1976. Regulatory era refers to the time after 1976, and all the modern-day events I’ve chosen have occurred from the 1990s onward.</w:t>
      </w:r>
    </w:p>
  </w:footnote>
  <w:footnote w:id="5">
    <w:p w14:paraId="7CD31B27" w14:textId="3A355332" w:rsidR="00252EAA" w:rsidRDefault="00252EAA">
      <w:pPr>
        <w:pStyle w:val="FootnoteText"/>
      </w:pPr>
      <w:r>
        <w:rPr>
          <w:rStyle w:val="FootnoteReference"/>
        </w:rPr>
        <w:footnoteRef/>
      </w:r>
      <w:r>
        <w:t xml:space="preserve"> I’m not an historian, but this seems important—at least one of the mass harm events may not have been caused by the product on which it is commonly blamed (the Camden tetanus event attributed to contaminated smallpox vaccine).</w:t>
      </w:r>
    </w:p>
  </w:footnote>
  <w:footnote w:id="6">
    <w:p w14:paraId="560FA580" w14:textId="24FB894C" w:rsidR="004F7A7D" w:rsidRDefault="004F7A7D">
      <w:pPr>
        <w:pStyle w:val="FootnoteText"/>
      </w:pPr>
      <w:r>
        <w:rPr>
          <w:rStyle w:val="FootnoteReference"/>
        </w:rPr>
        <w:footnoteRef/>
      </w:r>
      <w:r>
        <w:t xml:space="preserve"> I’ve got a lot more reading to do, but the timing of Camden, N.J. event in 1901, in which the deaths of 9 children are commonly attributed to tetanus-contaminated smallpox vaccine, may raise </w:t>
      </w:r>
      <w:r w:rsidR="00FF7672">
        <w:t xml:space="preserve">serious questions about a causal relationship between vaccination and death from tetanus. </w:t>
      </w:r>
    </w:p>
  </w:footnote>
  <w:footnote w:id="7">
    <w:p w14:paraId="00592419" w14:textId="1E4B21C8" w:rsidR="001B2562" w:rsidRDefault="001B2562">
      <w:pPr>
        <w:pStyle w:val="FootnoteText"/>
      </w:pPr>
      <w:r>
        <w:rPr>
          <w:rStyle w:val="FootnoteReference"/>
        </w:rPr>
        <w:footnoteRef/>
      </w:r>
      <w:r>
        <w:t xml:space="preserve"> A partial write-up of the St. Louis diphtheria antitoxin event is appended at the end of this 10-10.</w:t>
      </w:r>
    </w:p>
  </w:footnote>
  <w:footnote w:id="8">
    <w:p w14:paraId="592816DB" w14:textId="77777777" w:rsidR="001B2562" w:rsidRDefault="001B2562" w:rsidP="001B2562">
      <w:pPr>
        <w:pStyle w:val="FootnoteText"/>
      </w:pPr>
      <w:r>
        <w:rPr>
          <w:rStyle w:val="FootnoteReference"/>
        </w:rPr>
        <w:footnoteRef/>
      </w:r>
      <w:r>
        <w:t xml:space="preserve"> </w:t>
      </w:r>
      <w:r w:rsidRPr="00AD2141">
        <w:rPr>
          <w:smallCaps/>
        </w:rPr>
        <w:t>Jonathan Liebenau, Medical Science and Medical Industry: The Formation of the American Pharmaceutical Industry</w:t>
      </w:r>
      <w:r>
        <w:t xml:space="preserve"> 48-49 (1987).</w:t>
      </w:r>
    </w:p>
  </w:footnote>
  <w:footnote w:id="9">
    <w:p w14:paraId="7201C3D8" w14:textId="77777777" w:rsidR="001B2562" w:rsidRDefault="001B2562" w:rsidP="001B2562">
      <w:pPr>
        <w:pStyle w:val="FootnoteText"/>
      </w:pPr>
      <w:r>
        <w:rPr>
          <w:rStyle w:val="FootnoteReference"/>
        </w:rPr>
        <w:footnoteRef/>
      </w:r>
      <w:r>
        <w:t xml:space="preserve"> Terry S. Coleman, </w:t>
      </w:r>
      <w:r w:rsidRPr="002D29B2">
        <w:rPr>
          <w:i/>
          <w:iCs/>
        </w:rPr>
        <w:t>Early Development in the Regulation of Biologics</w:t>
      </w:r>
      <w:r>
        <w:t xml:space="preserve">, 71 </w:t>
      </w:r>
      <w:r w:rsidRPr="002D29B2">
        <w:rPr>
          <w:smallCaps/>
        </w:rPr>
        <w:t>Food &amp; Drug L.J.</w:t>
      </w:r>
      <w:r>
        <w:t xml:space="preserve"> 544, 547 (2016).</w:t>
      </w:r>
    </w:p>
  </w:footnote>
  <w:footnote w:id="10">
    <w:p w14:paraId="48C33213" w14:textId="77777777" w:rsidR="001B2562" w:rsidRDefault="001B2562" w:rsidP="001B2562">
      <w:pPr>
        <w:pStyle w:val="FootnoteText"/>
      </w:pPr>
      <w:r>
        <w:rPr>
          <w:rStyle w:val="FootnoteReference"/>
        </w:rPr>
        <w:footnoteRef/>
      </w:r>
      <w:r>
        <w:t xml:space="preserve"> </w:t>
      </w:r>
      <w:r w:rsidRPr="00487A2D">
        <w:rPr>
          <w:smallCaps/>
        </w:rPr>
        <w:t>Annual Report of the Supervising Surgeon-General of the Marine-Hospital Service of the United States for the Fiscal Year 189</w:t>
      </w:r>
      <w:r>
        <w:rPr>
          <w:smallCaps/>
        </w:rPr>
        <w:t>6</w:t>
      </w:r>
      <w:r>
        <w:t xml:space="preserve">, at 34, </w:t>
      </w:r>
      <w:r w:rsidRPr="007E1A07">
        <w:t>https://babel.hathitrust.org/cgi/pt?id=hvd.hx3u79&amp;seq=1089</w:t>
      </w:r>
      <w:r>
        <w:t>.</w:t>
      </w:r>
    </w:p>
  </w:footnote>
  <w:footnote w:id="11">
    <w:p w14:paraId="0364DF71" w14:textId="77777777" w:rsidR="001B2562" w:rsidRDefault="001B2562" w:rsidP="001B2562">
      <w:pPr>
        <w:pStyle w:val="FootnoteText"/>
      </w:pPr>
      <w:r>
        <w:rPr>
          <w:rStyle w:val="FootnoteReference"/>
        </w:rPr>
        <w:footnoteRef/>
      </w:r>
      <w:r>
        <w:t xml:space="preserve"> </w:t>
      </w:r>
      <w:r w:rsidRPr="00AD2141">
        <w:rPr>
          <w:smallCaps/>
        </w:rPr>
        <w:t>Jonathan Liebenau, Medical Science and Medical Industry: The Formation of the American Pharmaceutical Industry</w:t>
      </w:r>
      <w:r>
        <w:t xml:space="preserve"> 49 (1987) (citing Andrews et al).</w:t>
      </w:r>
    </w:p>
  </w:footnote>
  <w:footnote w:id="12">
    <w:p w14:paraId="4FDCB20A" w14:textId="77777777" w:rsidR="001B2562" w:rsidRDefault="001B2562" w:rsidP="001B2562">
      <w:pPr>
        <w:pStyle w:val="FootnoteText"/>
      </w:pPr>
      <w:r>
        <w:rPr>
          <w:rStyle w:val="FootnoteReference"/>
        </w:rPr>
        <w:footnoteRef/>
      </w:r>
      <w:r>
        <w:t xml:space="preserve"> </w:t>
      </w:r>
      <w:r w:rsidRPr="00632A89">
        <w:t>Steve M. Blevins</w:t>
      </w:r>
      <w:r>
        <w:t xml:space="preserve"> &amp;</w:t>
      </w:r>
      <w:r w:rsidRPr="00632A89">
        <w:t xml:space="preserve"> Michael S. Bronze</w:t>
      </w:r>
      <w:r>
        <w:t xml:space="preserve">, </w:t>
      </w:r>
      <w:r w:rsidRPr="00632A89">
        <w:rPr>
          <w:i/>
          <w:iCs/>
        </w:rPr>
        <w:t>Review: Robert Koch and the ‘Golden Age’ of Bacteriology</w:t>
      </w:r>
      <w:r>
        <w:t xml:space="preserve">, </w:t>
      </w:r>
      <w:proofErr w:type="gramStart"/>
      <w:r>
        <w:t>14 .</w:t>
      </w:r>
      <w:r w:rsidRPr="00632A89">
        <w:rPr>
          <w:smallCaps/>
        </w:rPr>
        <w:t>International</w:t>
      </w:r>
      <w:proofErr w:type="gramEnd"/>
      <w:r w:rsidRPr="00632A89">
        <w:rPr>
          <w:smallCaps/>
        </w:rPr>
        <w:t xml:space="preserve"> J. of Infectious Diseases</w:t>
      </w:r>
      <w:r w:rsidRPr="00632A89">
        <w:t xml:space="preserve"> e744</w:t>
      </w:r>
      <w:r>
        <w:t xml:space="preserve">, e747 (2010); Michael S. Bisesi, </w:t>
      </w:r>
      <w:r w:rsidRPr="001E5E29">
        <w:t>Behring Discovers the Diphtheria Antitoxin</w:t>
      </w:r>
      <w:r>
        <w:t xml:space="preserve">, EBSCO Knowledge Advantage (2023), </w:t>
      </w:r>
      <w:hyperlink r:id="rId1" w:anchor="full-article" w:history="1">
        <w:r w:rsidRPr="00A4356D">
          <w:rPr>
            <w:rStyle w:val="Hyperlink"/>
          </w:rPr>
          <w:t>https://www.ebsco.com/research-starters/history/behring-discovers-diphtheria-antitoxin#full-article</w:t>
        </w:r>
      </w:hyperlink>
      <w:r>
        <w:t xml:space="preserve">. Von Behring was awarded the first Nobel Prize in Medicine in 1901 for his work. </w:t>
      </w:r>
      <w:r w:rsidRPr="00B07E60">
        <w:t>J</w:t>
      </w:r>
      <w:r>
        <w:t>ean-</w:t>
      </w:r>
      <w:r w:rsidRPr="00B07E60">
        <w:t>M</w:t>
      </w:r>
      <w:r>
        <w:t xml:space="preserve">arc </w:t>
      </w:r>
      <w:r w:rsidRPr="00B07E60">
        <w:t xml:space="preserve">Cavaillon, </w:t>
      </w:r>
      <w:r w:rsidRPr="00DB08A3">
        <w:rPr>
          <w:i/>
          <w:iCs/>
        </w:rPr>
        <w:t xml:space="preserve">From Bacterial Poisons to Toxins: The Early Works of </w:t>
      </w:r>
      <w:proofErr w:type="spellStart"/>
      <w:r w:rsidRPr="00DB08A3">
        <w:rPr>
          <w:i/>
          <w:iCs/>
        </w:rPr>
        <w:t>Pasteurians</w:t>
      </w:r>
      <w:proofErr w:type="spellEnd"/>
      <w:r>
        <w:t xml:space="preserve">, 14 </w:t>
      </w:r>
      <w:r w:rsidRPr="00DB08A3">
        <w:rPr>
          <w:smallCaps/>
        </w:rPr>
        <w:t>Toxins</w:t>
      </w:r>
      <w:r>
        <w:t xml:space="preserve"> 759, 763 (2022),</w:t>
      </w:r>
      <w:r w:rsidRPr="00B07E60">
        <w:t xml:space="preserve"> https://doi.org/10.3390/toxins14110759</w:t>
      </w:r>
      <w:r>
        <w:t>.</w:t>
      </w:r>
    </w:p>
  </w:footnote>
  <w:footnote w:id="13">
    <w:p w14:paraId="60A7081E" w14:textId="77777777" w:rsidR="001B2562" w:rsidRDefault="001B2562" w:rsidP="001B2562">
      <w:pPr>
        <w:pStyle w:val="FootnoteText"/>
      </w:pPr>
      <w:r>
        <w:rPr>
          <w:rStyle w:val="FootnoteReference"/>
        </w:rPr>
        <w:footnoteRef/>
      </w:r>
      <w:r>
        <w:t xml:space="preserve"> Stefan H. E. Kaufmann, </w:t>
      </w:r>
      <w:r w:rsidRPr="00124A6F">
        <w:rPr>
          <w:i/>
          <w:iCs/>
        </w:rPr>
        <w:t>Editorial: Remembering Emil von Behring: From Tetanus Treatment to Antibody Cooperation with Phagocytes</w:t>
      </w:r>
      <w:r>
        <w:t xml:space="preserve">, 8 </w:t>
      </w:r>
      <w:r w:rsidRPr="00124A6F">
        <w:rPr>
          <w:smallCaps/>
        </w:rPr>
        <w:t>mBio</w:t>
      </w:r>
      <w:r>
        <w:t xml:space="preserve"> </w:t>
      </w:r>
      <w:r w:rsidRPr="00124A6F">
        <w:t>e00117-17</w:t>
      </w:r>
      <w:r>
        <w:t xml:space="preserve"> (2017),</w:t>
      </w:r>
      <w:r w:rsidRPr="00124A6F">
        <w:t> </w:t>
      </w:r>
      <w:hyperlink r:id="rId2" w:history="1">
        <w:r w:rsidRPr="00124A6F">
          <w:rPr>
            <w:rStyle w:val="Hyperlink"/>
          </w:rPr>
          <w:t>https://doi.org/10.1128/mBio.00117-17</w:t>
        </w:r>
      </w:hyperlink>
      <w:r>
        <w:t>.</w:t>
      </w:r>
    </w:p>
  </w:footnote>
  <w:footnote w:id="14">
    <w:p w14:paraId="02EF429D" w14:textId="77777777" w:rsidR="001B2562" w:rsidRDefault="001B2562" w:rsidP="001B2562">
      <w:pPr>
        <w:pStyle w:val="FootnoteText"/>
      </w:pPr>
      <w:r>
        <w:rPr>
          <w:rStyle w:val="FootnoteReference"/>
        </w:rPr>
        <w:footnoteRef/>
      </w:r>
      <w:r>
        <w:t xml:space="preserve"> Stefan H. E. Kaufmann, </w:t>
      </w:r>
      <w:r w:rsidRPr="00124A6F">
        <w:rPr>
          <w:i/>
          <w:iCs/>
        </w:rPr>
        <w:t>Editorial: Remembering Emil von Behring: From Tetanus Treatment to Antibody Cooperation with Phagocytes</w:t>
      </w:r>
      <w:r>
        <w:t xml:space="preserve">, 8 </w:t>
      </w:r>
      <w:r w:rsidRPr="00124A6F">
        <w:rPr>
          <w:smallCaps/>
        </w:rPr>
        <w:t>mBio</w:t>
      </w:r>
      <w:r>
        <w:t xml:space="preserve"> </w:t>
      </w:r>
      <w:r w:rsidRPr="00124A6F">
        <w:t>e00117-17</w:t>
      </w:r>
      <w:r>
        <w:t xml:space="preserve"> (2017),</w:t>
      </w:r>
      <w:r w:rsidRPr="00124A6F">
        <w:t> </w:t>
      </w:r>
      <w:hyperlink r:id="rId3" w:history="1">
        <w:r w:rsidRPr="00124A6F">
          <w:rPr>
            <w:rStyle w:val="Hyperlink"/>
          </w:rPr>
          <w:t>https://doi.org/10.1128/mBio.00117-17</w:t>
        </w:r>
      </w:hyperlink>
      <w:r>
        <w:t xml:space="preserve">; </w:t>
      </w:r>
      <w:r w:rsidRPr="00AD2141">
        <w:rPr>
          <w:smallCaps/>
        </w:rPr>
        <w:t>Jonathan Liebenau, Medical Science and Medical Industry: The Formation of the American Pharmaceutical Industry</w:t>
      </w:r>
      <w:r>
        <w:t xml:space="preserve"> 50 (1987).</w:t>
      </w:r>
    </w:p>
  </w:footnote>
  <w:footnote w:id="15">
    <w:p w14:paraId="2FDB411A" w14:textId="77777777" w:rsidR="001B2562" w:rsidRDefault="001B2562" w:rsidP="001B2562">
      <w:pPr>
        <w:pStyle w:val="FootnoteText"/>
      </w:pPr>
      <w:r>
        <w:rPr>
          <w:rStyle w:val="FootnoteReference"/>
        </w:rPr>
        <w:footnoteRef/>
      </w:r>
      <w:r>
        <w:t xml:space="preserve"> Stefan H. E. Kaufmann, </w:t>
      </w:r>
      <w:r w:rsidRPr="00124A6F">
        <w:rPr>
          <w:i/>
          <w:iCs/>
        </w:rPr>
        <w:t>Editorial: Remembering Emil von Behring: From Tetanus Treatment to Antibody Cooperation with Phagocytes</w:t>
      </w:r>
      <w:r>
        <w:t xml:space="preserve">, 8 </w:t>
      </w:r>
      <w:r w:rsidRPr="00124A6F">
        <w:rPr>
          <w:smallCaps/>
        </w:rPr>
        <w:t>mBio</w:t>
      </w:r>
      <w:r>
        <w:t xml:space="preserve"> </w:t>
      </w:r>
      <w:r w:rsidRPr="00124A6F">
        <w:t>e00117-17</w:t>
      </w:r>
      <w:r>
        <w:t xml:space="preserve"> (2017),</w:t>
      </w:r>
      <w:r w:rsidRPr="00124A6F">
        <w:t> </w:t>
      </w:r>
      <w:hyperlink r:id="rId4" w:history="1">
        <w:r w:rsidRPr="00124A6F">
          <w:rPr>
            <w:rStyle w:val="Hyperlink"/>
          </w:rPr>
          <w:t>https://doi.org/10.1128/mBio.00117-17</w:t>
        </w:r>
      </w:hyperlink>
      <w:r>
        <w:t>.</w:t>
      </w:r>
    </w:p>
  </w:footnote>
  <w:footnote w:id="16">
    <w:p w14:paraId="095D418A" w14:textId="77777777" w:rsidR="001B2562" w:rsidRDefault="001B2562" w:rsidP="001B2562">
      <w:pPr>
        <w:pStyle w:val="FootnoteText"/>
      </w:pPr>
      <w:r>
        <w:rPr>
          <w:rStyle w:val="FootnoteReference"/>
        </w:rPr>
        <w:footnoteRef/>
      </w:r>
      <w:r>
        <w:t xml:space="preserve"> </w:t>
      </w:r>
      <w:r w:rsidRPr="00B07E60">
        <w:t>J</w:t>
      </w:r>
      <w:r>
        <w:t>ean-</w:t>
      </w:r>
      <w:r w:rsidRPr="00B07E60">
        <w:t>M</w:t>
      </w:r>
      <w:r>
        <w:t xml:space="preserve">arc </w:t>
      </w:r>
      <w:r w:rsidRPr="00B07E60">
        <w:t>Cavaillon, From</w:t>
      </w:r>
      <w:r>
        <w:t xml:space="preserve"> </w:t>
      </w:r>
      <w:r w:rsidRPr="00B07E60">
        <w:t>Bacterial Poisons to Toxins: The Early</w:t>
      </w:r>
      <w:r>
        <w:t xml:space="preserve"> </w:t>
      </w:r>
      <w:r w:rsidRPr="00B07E60">
        <w:t xml:space="preserve">Works of </w:t>
      </w:r>
      <w:proofErr w:type="spellStart"/>
      <w:r w:rsidRPr="00B07E60">
        <w:t>Pasteurians</w:t>
      </w:r>
      <w:proofErr w:type="spellEnd"/>
      <w:r>
        <w:t xml:space="preserve">, 14 </w:t>
      </w:r>
      <w:r w:rsidRPr="00B07E60">
        <w:t>Toxins</w:t>
      </w:r>
      <w:r>
        <w:t xml:space="preserve"> 759, 763 (2022),</w:t>
      </w:r>
      <w:r w:rsidRPr="00B07E60">
        <w:t xml:space="preserve"> https://doi.org/10.3390/toxins14110759</w:t>
      </w:r>
      <w:r>
        <w:t>.</w:t>
      </w:r>
    </w:p>
  </w:footnote>
  <w:footnote w:id="17">
    <w:p w14:paraId="59A8135D" w14:textId="34D0C5AA" w:rsidR="001B2562" w:rsidRDefault="001B2562" w:rsidP="001B2562">
      <w:pPr>
        <w:pStyle w:val="FootnoteText"/>
      </w:pPr>
      <w:r>
        <w:rPr>
          <w:rStyle w:val="FootnoteReference"/>
        </w:rPr>
        <w:footnoteRef/>
      </w:r>
      <w:r>
        <w:t xml:space="preserve"> </w:t>
      </w:r>
      <w:r w:rsidRPr="00487A2D">
        <w:rPr>
          <w:smallCaps/>
        </w:rPr>
        <w:t>Annual Report of the Supervising Surgeon-General of the Marine-Hospital Service of the United States for the Fiscal Year 1895</w:t>
      </w:r>
      <w:r>
        <w:t xml:space="preserve">, at 333, </w:t>
      </w:r>
      <w:hyperlink r:id="rId5" w:history="1">
        <w:r w:rsidR="002846B5" w:rsidRPr="00AC0331">
          <w:rPr>
            <w:rStyle w:val="Hyperlink"/>
          </w:rPr>
          <w:t>https://babel.hathitrust.org/cgi/pt?id=hvd.hx3u78&amp;seq=2</w:t>
        </w:r>
      </w:hyperlink>
      <w:r>
        <w:t>.</w:t>
      </w:r>
      <w:r w:rsidR="002846B5">
        <w:t xml:space="preserve"> I need to emphasize that just five years had elapsed from the first proof of effectiveness to claims that a product was no longer experimental. </w:t>
      </w:r>
    </w:p>
  </w:footnote>
  <w:footnote w:id="18">
    <w:p w14:paraId="1FFBB486" w14:textId="734E2515" w:rsidR="001B2562" w:rsidRDefault="001B2562" w:rsidP="001B2562">
      <w:pPr>
        <w:pStyle w:val="FootnoteText"/>
      </w:pPr>
      <w:r>
        <w:rPr>
          <w:rStyle w:val="FootnoteReference"/>
        </w:rPr>
        <w:footnoteRef/>
      </w:r>
      <w:r>
        <w:t xml:space="preserve"> </w:t>
      </w:r>
      <w:r w:rsidRPr="00AD2141">
        <w:rPr>
          <w:smallCaps/>
        </w:rPr>
        <w:t>Jonathan Liebenau, Medical Science and Medical Industry: The Formation of the American Pharmaceutical Industry</w:t>
      </w:r>
      <w:r>
        <w:t xml:space="preserve"> 50 (1987).</w:t>
      </w:r>
    </w:p>
  </w:footnote>
  <w:footnote w:id="19">
    <w:p w14:paraId="16493513" w14:textId="77777777" w:rsidR="001B2562" w:rsidRDefault="001B2562" w:rsidP="001B2562">
      <w:pPr>
        <w:pStyle w:val="FootnoteText"/>
      </w:pPr>
      <w:r>
        <w:rPr>
          <w:rStyle w:val="FootnoteReference"/>
        </w:rPr>
        <w:footnoteRef/>
      </w:r>
      <w:r>
        <w:t xml:space="preserve"> David E. Lilienfeld, </w:t>
      </w:r>
      <w:r w:rsidRPr="00B3679A">
        <w:rPr>
          <w:i/>
          <w:iCs/>
        </w:rPr>
        <w:t>The First Pharmacoepidemiologic Investigations: National Drug Safety Policy in the United States, 1901-1902</w:t>
      </w:r>
      <w:r>
        <w:t xml:space="preserve">, 51 </w:t>
      </w:r>
      <w:r w:rsidRPr="00B3679A">
        <w:rPr>
          <w:smallCaps/>
        </w:rPr>
        <w:t>Perspectives in Biology and Medicine</w:t>
      </w:r>
      <w:r>
        <w:t>, 188, 191 (2008).</w:t>
      </w:r>
    </w:p>
  </w:footnote>
  <w:footnote w:id="20">
    <w:p w14:paraId="1185DCD1" w14:textId="6FAA29EC" w:rsidR="001B2562" w:rsidRDefault="001B2562" w:rsidP="001B2562">
      <w:pPr>
        <w:pStyle w:val="FootnoteText"/>
      </w:pPr>
      <w:r>
        <w:rPr>
          <w:rStyle w:val="FootnoteReference"/>
        </w:rPr>
        <w:footnoteRef/>
      </w:r>
      <w:r>
        <w:t xml:space="preserve"> </w:t>
      </w:r>
      <w:r w:rsidRPr="00AD2141">
        <w:rPr>
          <w:smallCaps/>
        </w:rPr>
        <w:t>Jonathan Liebenau, Medical Science and Medical Industry: The Formation of the American Pharmaceutical Industry</w:t>
      </w:r>
      <w:r>
        <w:t xml:space="preserve"> 54 (1987).</w:t>
      </w:r>
    </w:p>
  </w:footnote>
  <w:footnote w:id="21">
    <w:p w14:paraId="5774F945" w14:textId="77777777" w:rsidR="001B2562" w:rsidRDefault="001B2562" w:rsidP="001B2562">
      <w:pPr>
        <w:pStyle w:val="FootnoteText"/>
      </w:pPr>
      <w:r>
        <w:rPr>
          <w:rStyle w:val="FootnoteReference"/>
        </w:rPr>
        <w:footnoteRef/>
      </w:r>
      <w:r>
        <w:t xml:space="preserve"> Terry S. Coleman, </w:t>
      </w:r>
      <w:r w:rsidRPr="002D29B2">
        <w:rPr>
          <w:i/>
          <w:iCs/>
        </w:rPr>
        <w:t>Early Development in the Regulation of Biologics</w:t>
      </w:r>
      <w:r>
        <w:t xml:space="preserve">, 71 </w:t>
      </w:r>
      <w:r w:rsidRPr="002D29B2">
        <w:rPr>
          <w:smallCaps/>
        </w:rPr>
        <w:t>Food &amp; Drug L.J.</w:t>
      </w:r>
      <w:r>
        <w:t xml:space="preserve"> 544, 547 (2016). The practice of holding the antitoxin-containing serum for several days and testing purity and potency in guinea pigs was adopted at the inception of the St. Louis Health Department. </w:t>
      </w:r>
      <w:r w:rsidRPr="00042C50">
        <w:rPr>
          <w:smallCaps/>
        </w:rPr>
        <w:t xml:space="preserve">City of St. Louis Health </w:t>
      </w:r>
      <w:proofErr w:type="spellStart"/>
      <w:r w:rsidRPr="00042C50">
        <w:rPr>
          <w:smallCaps/>
        </w:rPr>
        <w:t>Dep't</w:t>
      </w:r>
      <w:proofErr w:type="spellEnd"/>
      <w:r w:rsidRPr="00042C50">
        <w:rPr>
          <w:smallCaps/>
        </w:rPr>
        <w:t>, Twenty-Fifth Annual Report Of The Health Commissioner For The Year Ending March 31st</w:t>
      </w:r>
      <w:r>
        <w:t xml:space="preserve">, 1896, at 123-24 (1896), </w:t>
      </w:r>
      <w:r w:rsidRPr="00042C50">
        <w:t>https://archive.org/stream/annualreporthea00unkngoog/annualreporthea00unkngoog_djvu.txt</w:t>
      </w:r>
      <w:r>
        <w:t>.</w:t>
      </w:r>
    </w:p>
  </w:footnote>
  <w:footnote w:id="22">
    <w:p w14:paraId="3D8BA083" w14:textId="77777777" w:rsidR="001B2562" w:rsidRDefault="001B2562" w:rsidP="001B2562">
      <w:pPr>
        <w:pStyle w:val="FootnoteText"/>
      </w:pPr>
      <w:r>
        <w:rPr>
          <w:rStyle w:val="FootnoteReference"/>
        </w:rPr>
        <w:footnoteRef/>
      </w:r>
      <w:r>
        <w:t xml:space="preserve"> Ramunas A. </w:t>
      </w:r>
      <w:proofErr w:type="spellStart"/>
      <w:r>
        <w:t>Kondratas</w:t>
      </w:r>
      <w:proofErr w:type="spellEnd"/>
      <w:r>
        <w:t xml:space="preserve">, </w:t>
      </w:r>
      <w:r w:rsidRPr="00CC689E">
        <w:rPr>
          <w:i/>
          <w:iCs/>
        </w:rPr>
        <w:t>The Biologics Control Act of 1902</w:t>
      </w:r>
      <w:r>
        <w:t xml:space="preserve">, </w:t>
      </w:r>
      <w:r w:rsidRPr="00CC689E">
        <w:rPr>
          <w:i/>
          <w:iCs/>
        </w:rPr>
        <w:t>in</w:t>
      </w:r>
      <w:r>
        <w:t xml:space="preserve"> </w:t>
      </w:r>
      <w:r w:rsidRPr="00CC689E">
        <w:rPr>
          <w:smallCaps/>
        </w:rPr>
        <w:t>The Early Years of Federal Food and Drug Control</w:t>
      </w:r>
      <w:r>
        <w:t xml:space="preserve"> 12 (ed. James Harvey Young ed., 1982).</w:t>
      </w:r>
    </w:p>
  </w:footnote>
  <w:footnote w:id="23">
    <w:p w14:paraId="30999044" w14:textId="631D8623" w:rsidR="001B2562" w:rsidRDefault="001B2562" w:rsidP="001B2562">
      <w:pPr>
        <w:pStyle w:val="FootnoteText"/>
      </w:pPr>
      <w:r>
        <w:rPr>
          <w:rStyle w:val="FootnoteReference"/>
        </w:rPr>
        <w:footnoteRef/>
      </w:r>
      <w:r>
        <w:t xml:space="preserve"> </w:t>
      </w:r>
      <w:r w:rsidRPr="00AD2141">
        <w:rPr>
          <w:smallCaps/>
        </w:rPr>
        <w:t>Jonathan Liebenau, Medical Science and Medical Industry: The Formation of the American Pharmaceutical Industry</w:t>
      </w:r>
      <w:r>
        <w:t xml:space="preserve"> 52 (1987).</w:t>
      </w:r>
    </w:p>
  </w:footnote>
  <w:footnote w:id="24">
    <w:p w14:paraId="0E404FE8" w14:textId="77777777" w:rsidR="001B2562" w:rsidRDefault="001B2562" w:rsidP="001B2562">
      <w:pPr>
        <w:pStyle w:val="FootnoteText"/>
      </w:pPr>
      <w:r>
        <w:rPr>
          <w:rStyle w:val="FootnoteReference"/>
        </w:rPr>
        <w:footnoteRef/>
      </w:r>
      <w:r>
        <w:t xml:space="preserve"> David E. Lilienfeld, </w:t>
      </w:r>
      <w:r w:rsidRPr="00B3679A">
        <w:rPr>
          <w:i/>
          <w:iCs/>
        </w:rPr>
        <w:t>The First Pharmacoepidemiologic Investigations: National Drug Safety Policy in the United States, 1901-1902</w:t>
      </w:r>
      <w:r>
        <w:t xml:space="preserve">, 51 </w:t>
      </w:r>
      <w:r w:rsidRPr="00B3679A">
        <w:rPr>
          <w:smallCaps/>
        </w:rPr>
        <w:t>Perspectives in Biology and Medicine</w:t>
      </w:r>
      <w:r>
        <w:t>, 188, 191 (2008).</w:t>
      </w:r>
    </w:p>
  </w:footnote>
  <w:footnote w:id="25">
    <w:p w14:paraId="54462A88" w14:textId="46741FBA" w:rsidR="001B2562" w:rsidRDefault="001B2562" w:rsidP="001B2562">
      <w:pPr>
        <w:pStyle w:val="FootnoteText"/>
      </w:pPr>
      <w:r>
        <w:rPr>
          <w:rStyle w:val="FootnoteReference"/>
        </w:rPr>
        <w:footnoteRef/>
      </w:r>
      <w:r>
        <w:t xml:space="preserve"> </w:t>
      </w:r>
      <w:r w:rsidRPr="00AD2141">
        <w:rPr>
          <w:smallCaps/>
        </w:rPr>
        <w:t>Jonathan Liebenau, Medical Science and Medical Industry: The Formation of the American Pharmaceutical Industry</w:t>
      </w:r>
      <w:r>
        <w:t xml:space="preserve"> 55-56 (1987).</w:t>
      </w:r>
    </w:p>
  </w:footnote>
  <w:footnote w:id="26">
    <w:p w14:paraId="22DA868A" w14:textId="77777777" w:rsidR="001B2562" w:rsidRDefault="001B2562" w:rsidP="001B2562">
      <w:pPr>
        <w:pStyle w:val="FootnoteText"/>
      </w:pPr>
      <w:r>
        <w:rPr>
          <w:rStyle w:val="FootnoteReference"/>
        </w:rPr>
        <w:footnoteRef/>
      </w:r>
      <w:r>
        <w:t xml:space="preserve"> </w:t>
      </w:r>
      <w:r w:rsidRPr="00AD2141">
        <w:rPr>
          <w:smallCaps/>
        </w:rPr>
        <w:t>Jonathan Liebenau, Medical Science and Medical Industry: The Formation of the American Pharmaceutical Industry</w:t>
      </w:r>
      <w:r>
        <w:t xml:space="preserve"> 52, 55 (1987); David E. Lilienfeld, </w:t>
      </w:r>
      <w:r w:rsidRPr="00B3679A">
        <w:rPr>
          <w:i/>
          <w:iCs/>
        </w:rPr>
        <w:t>The First Pharmacoepidemiologic Investigations: National Drug Safety Policy in the United States, 1901-1902</w:t>
      </w:r>
      <w:r>
        <w:t xml:space="preserve">, 51 </w:t>
      </w:r>
      <w:r w:rsidRPr="00B3679A">
        <w:rPr>
          <w:smallCaps/>
        </w:rPr>
        <w:t>Perspectives in Biology and Medicine</w:t>
      </w:r>
      <w:r>
        <w:t>, 188, 190 (2008) (reporting that Mulford was able to recruit Joseph McFarland, who had been in charge of diphtheria antitoxin production by the Philadelphia Department of Health, because of his frustration over budgetary constraints).</w:t>
      </w:r>
    </w:p>
  </w:footnote>
  <w:footnote w:id="27">
    <w:p w14:paraId="34681B86" w14:textId="6E5FC1A9" w:rsidR="001B2562" w:rsidRDefault="001B2562" w:rsidP="001B2562">
      <w:pPr>
        <w:pStyle w:val="FootnoteText"/>
      </w:pPr>
      <w:r>
        <w:rPr>
          <w:rStyle w:val="FootnoteReference"/>
        </w:rPr>
        <w:footnoteRef/>
      </w:r>
      <w:r>
        <w:t xml:space="preserve"> </w:t>
      </w:r>
      <w:r w:rsidRPr="00AD2141">
        <w:rPr>
          <w:smallCaps/>
        </w:rPr>
        <w:t>Jonathan Liebenau, Medical Science and Medical Industry: The Formation of the American Pharmaceutical Industry</w:t>
      </w:r>
      <w:r>
        <w:t xml:space="preserve"> 55 (1987).</w:t>
      </w:r>
    </w:p>
  </w:footnote>
  <w:footnote w:id="28">
    <w:p w14:paraId="18F4B0C9" w14:textId="0D897BD1" w:rsidR="001B2562" w:rsidRDefault="001B2562" w:rsidP="001B2562">
      <w:pPr>
        <w:pStyle w:val="FootnoteText"/>
      </w:pPr>
      <w:r>
        <w:rPr>
          <w:rStyle w:val="FootnoteReference"/>
        </w:rPr>
        <w:footnoteRef/>
      </w:r>
      <w:r>
        <w:t xml:space="preserve"> </w:t>
      </w:r>
      <w:r w:rsidRPr="00AD2141">
        <w:rPr>
          <w:smallCaps/>
        </w:rPr>
        <w:t>Jonathan Liebenau, Medical Science and Medical Industry: The Formation of the American Pharmaceutical Industry</w:t>
      </w:r>
      <w:r>
        <w:t xml:space="preserve"> 57 (1987).</w:t>
      </w:r>
    </w:p>
  </w:footnote>
  <w:footnote w:id="29">
    <w:p w14:paraId="7E2EBEF8" w14:textId="77777777" w:rsidR="001B2562" w:rsidRDefault="001B2562" w:rsidP="001B2562">
      <w:pPr>
        <w:pStyle w:val="FootnoteText"/>
      </w:pPr>
      <w:r>
        <w:rPr>
          <w:rStyle w:val="FootnoteReference"/>
        </w:rPr>
        <w:footnoteRef/>
      </w:r>
      <w:r>
        <w:t xml:space="preserve"> </w:t>
      </w:r>
    </w:p>
  </w:footnote>
  <w:footnote w:id="30">
    <w:p w14:paraId="626139E3" w14:textId="77777777" w:rsidR="001B2562" w:rsidRDefault="001B2562" w:rsidP="001B2562">
      <w:pPr>
        <w:pStyle w:val="FootnoteText"/>
      </w:pPr>
      <w:r>
        <w:rPr>
          <w:rStyle w:val="FootnoteReference"/>
        </w:rPr>
        <w:footnoteRef/>
      </w:r>
      <w:r>
        <w:t xml:space="preserve"> Ross E. </w:t>
      </w:r>
      <w:proofErr w:type="spellStart"/>
      <w:r>
        <w:t>DeHovitz</w:t>
      </w:r>
      <w:proofErr w:type="spellEnd"/>
      <w:r>
        <w:t xml:space="preserve">, </w:t>
      </w:r>
      <w:r w:rsidRPr="00792B2B">
        <w:rPr>
          <w:i/>
          <w:iCs/>
        </w:rPr>
        <w:t>The 1901 St Louis Incident: The First Modern Medical Disaster</w:t>
      </w:r>
      <w:r>
        <w:t xml:space="preserve">, 133 </w:t>
      </w:r>
      <w:r w:rsidRPr="00792B2B">
        <w:rPr>
          <w:smallCaps/>
        </w:rPr>
        <w:t>Pediatrics</w:t>
      </w:r>
      <w:r>
        <w:t xml:space="preserve"> 964, 964 (2014).</w:t>
      </w:r>
    </w:p>
  </w:footnote>
  <w:footnote w:id="31">
    <w:p w14:paraId="46F694CD" w14:textId="77777777" w:rsidR="001B2562" w:rsidRDefault="001B2562" w:rsidP="001B2562">
      <w:pPr>
        <w:pStyle w:val="FootnoteText"/>
      </w:pPr>
      <w:r>
        <w:rPr>
          <w:rStyle w:val="FootnoteReference"/>
        </w:rPr>
        <w:footnoteRef/>
      </w:r>
      <w:r>
        <w:t xml:space="preserve"> David E. Lilienfeld, </w:t>
      </w:r>
      <w:r w:rsidRPr="00B3679A">
        <w:rPr>
          <w:i/>
          <w:iCs/>
        </w:rPr>
        <w:t>The First Pharmacoepidemiologic Investigations: National Drug Safety Policy in the United States, 1901-1902</w:t>
      </w:r>
      <w:r>
        <w:t xml:space="preserve">, 51 </w:t>
      </w:r>
      <w:r w:rsidRPr="00B3679A">
        <w:rPr>
          <w:smallCaps/>
        </w:rPr>
        <w:t>Perspectives in Biology and Medicine</w:t>
      </w:r>
      <w:r>
        <w:t>, 188, 191-92 (2008).</w:t>
      </w:r>
    </w:p>
  </w:footnote>
  <w:footnote w:id="32">
    <w:p w14:paraId="7CB7666B" w14:textId="77777777" w:rsidR="001B2562" w:rsidRDefault="001B2562" w:rsidP="001B2562">
      <w:pPr>
        <w:pStyle w:val="FootnoteText"/>
      </w:pPr>
      <w:r>
        <w:rPr>
          <w:rStyle w:val="FootnoteReference"/>
        </w:rPr>
        <w:footnoteRef/>
      </w:r>
      <w:r>
        <w:t xml:space="preserve"> </w:t>
      </w:r>
      <w:r w:rsidRPr="00AD2141">
        <w:rPr>
          <w:smallCaps/>
        </w:rPr>
        <w:t>Jonathan Liebenau, Medical Science and Medical Industry: The Formation of the American Pharmaceutical Industry</w:t>
      </w:r>
      <w:r>
        <w:t xml:space="preserve"> 49 (1987) (citing Andrews et al).</w:t>
      </w:r>
    </w:p>
  </w:footnote>
  <w:footnote w:id="33">
    <w:p w14:paraId="22E110EE" w14:textId="77777777" w:rsidR="001B2562" w:rsidRDefault="001B2562" w:rsidP="001B2562">
      <w:pPr>
        <w:pStyle w:val="FootnoteText"/>
      </w:pPr>
      <w:r>
        <w:rPr>
          <w:rStyle w:val="FootnoteReference"/>
        </w:rPr>
        <w:footnoteRef/>
      </w:r>
      <w:r>
        <w:t xml:space="preserve"> </w:t>
      </w:r>
      <w:r w:rsidRPr="006303A7">
        <w:t xml:space="preserve">Annick </w:t>
      </w:r>
      <w:proofErr w:type="spellStart"/>
      <w:r w:rsidRPr="006303A7">
        <w:t>Opinel</w:t>
      </w:r>
      <w:proofErr w:type="spellEnd"/>
      <w:r>
        <w:t xml:space="preserve"> &amp;</w:t>
      </w:r>
      <w:r w:rsidRPr="006303A7">
        <w:t xml:space="preserve"> Gabriel Gachelin</w:t>
      </w:r>
      <w:r>
        <w:t>, French 19th Century Contributions to the Development of Treatments for Diphtheria, 104 J.R. Soc. Med. 173, 173-74 (2011).</w:t>
      </w:r>
    </w:p>
  </w:footnote>
  <w:footnote w:id="34">
    <w:p w14:paraId="2F535041" w14:textId="77777777" w:rsidR="001B2562" w:rsidRDefault="001B2562" w:rsidP="001B2562">
      <w:pPr>
        <w:pStyle w:val="FootnoteText"/>
      </w:pPr>
      <w:r>
        <w:rPr>
          <w:rStyle w:val="FootnoteReference"/>
        </w:rPr>
        <w:footnoteRef/>
      </w:r>
      <w:r>
        <w:t xml:space="preserve"> </w:t>
      </w:r>
      <w:r w:rsidRPr="006303A7">
        <w:t xml:space="preserve">Annick </w:t>
      </w:r>
      <w:proofErr w:type="spellStart"/>
      <w:r w:rsidRPr="006303A7">
        <w:t>Opinel</w:t>
      </w:r>
      <w:proofErr w:type="spellEnd"/>
      <w:r>
        <w:t xml:space="preserve"> &amp;</w:t>
      </w:r>
      <w:r w:rsidRPr="006303A7">
        <w:t xml:space="preserve"> Gabriel Gachelin</w:t>
      </w:r>
      <w:r>
        <w:t>, French 19th Century Contributions to the Development of Treatments for Diphtheria, 104 J.R. Soc. Med. 173, 173-74 (2011).</w:t>
      </w:r>
    </w:p>
  </w:footnote>
  <w:footnote w:id="35">
    <w:p w14:paraId="2A3AA6A1" w14:textId="77777777" w:rsidR="001B2562" w:rsidRDefault="001B2562" w:rsidP="001B2562">
      <w:pPr>
        <w:pStyle w:val="FootnoteText"/>
      </w:pPr>
      <w:r>
        <w:rPr>
          <w:rStyle w:val="FootnoteReference"/>
        </w:rPr>
        <w:footnoteRef/>
      </w:r>
      <w:r>
        <w:t xml:space="preserve"> </w:t>
      </w:r>
      <w:r w:rsidRPr="00042C50">
        <w:rPr>
          <w:smallCaps/>
        </w:rPr>
        <w:t xml:space="preserve">City of St. Louis Health </w:t>
      </w:r>
      <w:proofErr w:type="spellStart"/>
      <w:r w:rsidRPr="00042C50">
        <w:rPr>
          <w:smallCaps/>
        </w:rPr>
        <w:t>Dep't</w:t>
      </w:r>
      <w:proofErr w:type="spellEnd"/>
      <w:r w:rsidRPr="00042C50">
        <w:rPr>
          <w:smallCaps/>
        </w:rPr>
        <w:t>, Twenty-Fifth Annual Report Of The Health Commissioner For The Year Ending March 31st</w:t>
      </w:r>
      <w:r>
        <w:t xml:space="preserve">, 1896, at 53-55, 70-71 (1896), </w:t>
      </w:r>
      <w:r w:rsidRPr="00042C50">
        <w:t>https://archive.org/stream/annualreporthea00unkngoog/annualreporthea00unkngoog_djvu.txt</w:t>
      </w:r>
      <w:r>
        <w:t>.</w:t>
      </w:r>
    </w:p>
  </w:footnote>
  <w:footnote w:id="36">
    <w:p w14:paraId="2717403D" w14:textId="77777777" w:rsidR="001B2562" w:rsidRDefault="001B2562" w:rsidP="001B2562">
      <w:pPr>
        <w:pStyle w:val="FootnoteText"/>
      </w:pPr>
      <w:r>
        <w:rPr>
          <w:rStyle w:val="FootnoteReference"/>
        </w:rPr>
        <w:footnoteRef/>
      </w:r>
      <w:r>
        <w:t xml:space="preserve"> Stefan H. E. Kaufmann, </w:t>
      </w:r>
      <w:r w:rsidRPr="00124A6F">
        <w:rPr>
          <w:i/>
          <w:iCs/>
        </w:rPr>
        <w:t>Editorial: Remembering Emil von Behring: From Tetanus Treatment to Antibody Cooperation with Phagocytes</w:t>
      </w:r>
      <w:r>
        <w:t xml:space="preserve">, 8 </w:t>
      </w:r>
      <w:r w:rsidRPr="00124A6F">
        <w:rPr>
          <w:smallCaps/>
        </w:rPr>
        <w:t>mBio</w:t>
      </w:r>
      <w:r>
        <w:t xml:space="preserve"> </w:t>
      </w:r>
      <w:r w:rsidRPr="00124A6F">
        <w:t>e00117-17</w:t>
      </w:r>
      <w:r>
        <w:t xml:space="preserve"> (2017),</w:t>
      </w:r>
      <w:r w:rsidRPr="00124A6F">
        <w:t> </w:t>
      </w:r>
      <w:hyperlink r:id="rId6" w:history="1">
        <w:r w:rsidRPr="00124A6F">
          <w:rPr>
            <w:rStyle w:val="Hyperlink"/>
          </w:rPr>
          <w:t>https://doi.org/10.1128/mBio.00117-17</w:t>
        </w:r>
      </w:hyperlink>
      <w:r>
        <w:t>.</w:t>
      </w:r>
    </w:p>
  </w:footnote>
  <w:footnote w:id="37">
    <w:p w14:paraId="42081E28" w14:textId="77777777" w:rsidR="001B2562" w:rsidRDefault="001B2562" w:rsidP="001B2562">
      <w:pPr>
        <w:pStyle w:val="FootnoteText"/>
      </w:pPr>
      <w:r>
        <w:rPr>
          <w:rStyle w:val="FootnoteReference"/>
        </w:rPr>
        <w:footnoteRef/>
      </w:r>
      <w:r>
        <w:t xml:space="preserve"> Ross E. </w:t>
      </w:r>
      <w:proofErr w:type="spellStart"/>
      <w:r>
        <w:t>DeHovitz</w:t>
      </w:r>
      <w:proofErr w:type="spellEnd"/>
      <w:r>
        <w:t xml:space="preserve">, </w:t>
      </w:r>
      <w:r w:rsidRPr="00792B2B">
        <w:rPr>
          <w:i/>
          <w:iCs/>
        </w:rPr>
        <w:t>The 1901 St Louis Incident: The First Modern Medical Disaster</w:t>
      </w:r>
      <w:r>
        <w:t xml:space="preserve">, 133 </w:t>
      </w:r>
      <w:r w:rsidRPr="00792B2B">
        <w:rPr>
          <w:smallCaps/>
        </w:rPr>
        <w:t>Pediatrics</w:t>
      </w:r>
      <w:r>
        <w:t xml:space="preserve"> 964, 964 (2014).</w:t>
      </w:r>
    </w:p>
  </w:footnote>
  <w:footnote w:id="38">
    <w:p w14:paraId="4C79AEA3" w14:textId="77777777" w:rsidR="001B2562" w:rsidRDefault="001B2562" w:rsidP="001B2562">
      <w:pPr>
        <w:pStyle w:val="FootnoteText"/>
      </w:pPr>
      <w:r>
        <w:rPr>
          <w:rStyle w:val="FootnoteReference"/>
        </w:rPr>
        <w:footnoteRef/>
      </w:r>
      <w:r>
        <w:t xml:space="preserve"> David E. Lilienfeld, </w:t>
      </w:r>
      <w:r w:rsidRPr="00B3679A">
        <w:rPr>
          <w:i/>
          <w:iCs/>
        </w:rPr>
        <w:t>The First Pharmacoepidemiologic Investigations: National Drug Safety Policy in the United States, 1901-1902</w:t>
      </w:r>
      <w:r>
        <w:t xml:space="preserve">, 51 </w:t>
      </w:r>
      <w:r w:rsidRPr="00B3679A">
        <w:rPr>
          <w:smallCaps/>
        </w:rPr>
        <w:t>Perspectives in Biology and Medicine</w:t>
      </w:r>
      <w:r>
        <w:t>, 188, 191 (2008).</w:t>
      </w:r>
    </w:p>
  </w:footnote>
  <w:footnote w:id="39">
    <w:p w14:paraId="732D6F57" w14:textId="77777777" w:rsidR="001B2562" w:rsidRDefault="001B2562" w:rsidP="001B2562">
      <w:pPr>
        <w:pStyle w:val="FootnoteText"/>
      </w:pPr>
      <w:r>
        <w:rPr>
          <w:rStyle w:val="FootnoteReference"/>
        </w:rPr>
        <w:footnoteRef/>
      </w:r>
      <w:r>
        <w:t xml:space="preserve"> </w:t>
      </w:r>
      <w:r w:rsidRPr="00042C50">
        <w:rPr>
          <w:smallCaps/>
        </w:rPr>
        <w:t xml:space="preserve">City of St. Louis Health </w:t>
      </w:r>
      <w:proofErr w:type="spellStart"/>
      <w:r w:rsidRPr="00042C50">
        <w:rPr>
          <w:smallCaps/>
        </w:rPr>
        <w:t>Dep't</w:t>
      </w:r>
      <w:proofErr w:type="spellEnd"/>
      <w:r w:rsidRPr="00042C50">
        <w:rPr>
          <w:smallCaps/>
        </w:rPr>
        <w:t>, Twenty-Fifth Annual Report Of The Health Commissioner For The Year Ending March 31st</w:t>
      </w:r>
      <w:r>
        <w:t xml:space="preserve">, 1896, at 126-27 (1896), </w:t>
      </w:r>
      <w:r w:rsidRPr="00042C50">
        <w:t>https://archive.org/stream/annualreporthea00unkngoog/annualreporthea00unkngoog_djvu.txt</w:t>
      </w:r>
      <w:r>
        <w:t>.</w:t>
      </w:r>
    </w:p>
  </w:footnote>
  <w:footnote w:id="40">
    <w:p w14:paraId="31154B6D" w14:textId="77777777" w:rsidR="001B2562" w:rsidRDefault="001B2562" w:rsidP="001B2562">
      <w:pPr>
        <w:pStyle w:val="FootnoteText"/>
      </w:pPr>
      <w:r>
        <w:rPr>
          <w:rStyle w:val="FootnoteReference"/>
        </w:rPr>
        <w:footnoteRef/>
      </w:r>
      <w:r>
        <w:t xml:space="preserve"> David E. Lilienfeld, </w:t>
      </w:r>
      <w:r w:rsidRPr="00B3679A">
        <w:rPr>
          <w:i/>
          <w:iCs/>
        </w:rPr>
        <w:t>The First Pharmacoepidemiologic Investigations: National Drug Safety Policy in the United States, 1901-1902</w:t>
      </w:r>
      <w:r>
        <w:t xml:space="preserve">, 51 </w:t>
      </w:r>
      <w:r w:rsidRPr="00B3679A">
        <w:rPr>
          <w:smallCaps/>
        </w:rPr>
        <w:t>Perspectives in Biology and Medicine</w:t>
      </w:r>
      <w:r>
        <w:t>, 188, 191 (2008).</w:t>
      </w:r>
    </w:p>
  </w:footnote>
  <w:footnote w:id="41">
    <w:p w14:paraId="18FB60F4" w14:textId="77777777" w:rsidR="001B2562" w:rsidRDefault="001B2562" w:rsidP="001B2562">
      <w:pPr>
        <w:pStyle w:val="FootnoteText"/>
      </w:pPr>
      <w:r>
        <w:rPr>
          <w:rStyle w:val="FootnoteReference"/>
        </w:rPr>
        <w:footnoteRef/>
      </w:r>
      <w:r>
        <w:t xml:space="preserve"> Ross E. </w:t>
      </w:r>
      <w:proofErr w:type="spellStart"/>
      <w:r>
        <w:t>DeHovitz</w:t>
      </w:r>
      <w:proofErr w:type="spellEnd"/>
      <w:r>
        <w:t xml:space="preserve">, </w:t>
      </w:r>
      <w:proofErr w:type="gramStart"/>
      <w:r w:rsidRPr="00792B2B">
        <w:rPr>
          <w:i/>
          <w:iCs/>
        </w:rPr>
        <w:t>The</w:t>
      </w:r>
      <w:proofErr w:type="gramEnd"/>
      <w:r w:rsidRPr="00792B2B">
        <w:rPr>
          <w:i/>
          <w:iCs/>
        </w:rPr>
        <w:t xml:space="preserve"> 1901 St Louis Incident: The First Modern Medical Disaster</w:t>
      </w:r>
      <w:r>
        <w:t xml:space="preserve">, 133 </w:t>
      </w:r>
      <w:r w:rsidRPr="00792B2B">
        <w:rPr>
          <w:smallCaps/>
        </w:rPr>
        <w:t>Pediatrics</w:t>
      </w:r>
      <w:r>
        <w:t xml:space="preserve"> 964, 965 (2014) (quoting a 1901 JAMA article exhorting physicians to demand guarantees of purity from antitoxin manufacturers).</w:t>
      </w:r>
    </w:p>
  </w:footnote>
  <w:footnote w:id="42">
    <w:p w14:paraId="7EC327A2" w14:textId="77777777" w:rsidR="001B2562" w:rsidRDefault="001B2562" w:rsidP="001B2562">
      <w:pPr>
        <w:pStyle w:val="FootnoteText"/>
      </w:pPr>
      <w:r>
        <w:rPr>
          <w:rStyle w:val="FootnoteReference"/>
        </w:rPr>
        <w:footnoteRef/>
      </w:r>
      <w:r>
        <w:t xml:space="preserve"> Ramunas A. </w:t>
      </w:r>
      <w:proofErr w:type="spellStart"/>
      <w:r>
        <w:t>Kondratas</w:t>
      </w:r>
      <w:proofErr w:type="spellEnd"/>
      <w:r>
        <w:t xml:space="preserve">, </w:t>
      </w:r>
      <w:r w:rsidRPr="00CC689E">
        <w:rPr>
          <w:i/>
          <w:iCs/>
        </w:rPr>
        <w:t>The Biologics Control Act of 1902</w:t>
      </w:r>
      <w:r>
        <w:t xml:space="preserve">, </w:t>
      </w:r>
      <w:r w:rsidRPr="00CC689E">
        <w:rPr>
          <w:i/>
          <w:iCs/>
        </w:rPr>
        <w:t>in</w:t>
      </w:r>
      <w:r>
        <w:t xml:space="preserve"> </w:t>
      </w:r>
      <w:r w:rsidRPr="00CC689E">
        <w:rPr>
          <w:smallCaps/>
        </w:rPr>
        <w:t>The Early Years of Federal Food and Drug Control</w:t>
      </w:r>
      <w:r>
        <w:t xml:space="preserve"> 14 (James Harvey Young ed., 1982).</w:t>
      </w:r>
    </w:p>
  </w:footnote>
  <w:footnote w:id="43">
    <w:p w14:paraId="1FD47E7F" w14:textId="77777777" w:rsidR="001B2562" w:rsidRDefault="001B2562" w:rsidP="001B2562">
      <w:pPr>
        <w:pStyle w:val="FootnoteText"/>
      </w:pPr>
      <w:r>
        <w:rPr>
          <w:rStyle w:val="FootnoteReference"/>
        </w:rPr>
        <w:footnoteRef/>
      </w:r>
      <w:r>
        <w:t xml:space="preserve"> </w:t>
      </w:r>
    </w:p>
  </w:footnote>
  <w:footnote w:id="44">
    <w:p w14:paraId="36057F5E" w14:textId="77777777" w:rsidR="001B2562" w:rsidRDefault="001B2562" w:rsidP="001B2562">
      <w:pPr>
        <w:pStyle w:val="FootnoteText"/>
      </w:pPr>
      <w:r>
        <w:rPr>
          <w:rStyle w:val="FootnoteReference"/>
        </w:rPr>
        <w:footnoteRef/>
      </w:r>
      <w:r>
        <w:t xml:space="preserve"> </w:t>
      </w:r>
      <w:r w:rsidRPr="00487A2D">
        <w:rPr>
          <w:smallCaps/>
        </w:rPr>
        <w:t>Annual Report of the Supervising Surgeon-General of the Marine-Hospital Service of the United States for the Fiscal Year 189</w:t>
      </w:r>
      <w:r>
        <w:rPr>
          <w:smallCaps/>
        </w:rPr>
        <w:t>6</w:t>
      </w:r>
      <w:r>
        <w:t xml:space="preserve">, at 1015, </w:t>
      </w:r>
      <w:r w:rsidRPr="007E1A07">
        <w:t>https://babel.hathitrust.org/cgi/pt?id=hvd.hx3u79&amp;seq=1089</w:t>
      </w:r>
      <w:r>
        <w:t>.</w:t>
      </w:r>
    </w:p>
  </w:footnote>
  <w:footnote w:id="45">
    <w:p w14:paraId="18BB1D65" w14:textId="4A660DDA" w:rsidR="00A2078A" w:rsidRDefault="00A2078A">
      <w:pPr>
        <w:pStyle w:val="FootnoteText"/>
      </w:pPr>
      <w:r>
        <w:rPr>
          <w:rStyle w:val="FootnoteReference"/>
        </w:rPr>
        <w:footnoteRef/>
      </w:r>
      <w:r>
        <w:t xml:space="preserve"> </w:t>
      </w:r>
    </w:p>
  </w:footnote>
  <w:footnote w:id="46">
    <w:p w14:paraId="0BF3F997" w14:textId="77777777" w:rsidR="001B2562" w:rsidRDefault="001B2562" w:rsidP="001B2562">
      <w:pPr>
        <w:pStyle w:val="FootnoteText"/>
      </w:pPr>
      <w:r>
        <w:rPr>
          <w:rStyle w:val="FootnoteReference"/>
        </w:rPr>
        <w:footnoteRef/>
      </w:r>
      <w:r>
        <w:t xml:space="preserve"> </w:t>
      </w:r>
      <w:r w:rsidRPr="00042C50">
        <w:rPr>
          <w:smallCaps/>
        </w:rPr>
        <w:t xml:space="preserve">City of St. Louis Health </w:t>
      </w:r>
      <w:proofErr w:type="spellStart"/>
      <w:r w:rsidRPr="00042C50">
        <w:rPr>
          <w:smallCaps/>
        </w:rPr>
        <w:t>Dep't</w:t>
      </w:r>
      <w:proofErr w:type="spellEnd"/>
      <w:r w:rsidRPr="00042C50">
        <w:rPr>
          <w:smallCaps/>
        </w:rPr>
        <w:t>, Twenty-Fifth Annual Report Of The Health Commissioner For The Year Ending March 31st</w:t>
      </w:r>
      <w:r>
        <w:t xml:space="preserve">, 1896, at 114 (1896), </w:t>
      </w:r>
      <w:hyperlink r:id="rId7" w:history="1">
        <w:r w:rsidRPr="009308B9">
          <w:rPr>
            <w:rStyle w:val="Hyperlink"/>
          </w:rPr>
          <w:t>https://archive.org/stream/annualreporthea00unkngoog/annualreporthea00unkngoog_djvu.txt</w:t>
        </w:r>
      </w:hyperlink>
      <w:r>
        <w:t xml:space="preserve">; Terry S. Coleman, </w:t>
      </w:r>
      <w:r w:rsidRPr="002D29B2">
        <w:rPr>
          <w:i/>
          <w:iCs/>
        </w:rPr>
        <w:t>Early Development in the Regulation of Biologics</w:t>
      </w:r>
      <w:r>
        <w:t xml:space="preserve">, 71 </w:t>
      </w:r>
      <w:r w:rsidRPr="002D29B2">
        <w:rPr>
          <w:smallCaps/>
        </w:rPr>
        <w:t>Food &amp; Drug L.J.</w:t>
      </w:r>
      <w:r>
        <w:t xml:space="preserve"> 544, 548 (2016).</w:t>
      </w:r>
    </w:p>
  </w:footnote>
  <w:footnote w:id="47">
    <w:p w14:paraId="29BAD16D" w14:textId="77777777" w:rsidR="001B2562" w:rsidRDefault="001B2562" w:rsidP="001B2562">
      <w:pPr>
        <w:pStyle w:val="FootnoteText"/>
      </w:pPr>
      <w:r>
        <w:rPr>
          <w:rStyle w:val="FootnoteReference"/>
        </w:rPr>
        <w:footnoteRef/>
      </w:r>
      <w:r>
        <w:t xml:space="preserve"> Terry S. Coleman, </w:t>
      </w:r>
      <w:r w:rsidRPr="002D29B2">
        <w:rPr>
          <w:i/>
          <w:iCs/>
        </w:rPr>
        <w:t>Early Development in the Regulation of Biologics</w:t>
      </w:r>
      <w:r>
        <w:t xml:space="preserve">, 71 </w:t>
      </w:r>
      <w:r w:rsidRPr="002D29B2">
        <w:rPr>
          <w:smallCaps/>
        </w:rPr>
        <w:t>Food &amp; Drug L.J.</w:t>
      </w:r>
      <w:r>
        <w:t xml:space="preserve"> 544, 548 (2016); Linda Bren, U.S. Food &amp; Drug Admin., </w:t>
      </w:r>
      <w:r w:rsidRPr="009828CD">
        <w:rPr>
          <w:i/>
          <w:iCs/>
        </w:rPr>
        <w:t>The Road to the Biotech Revolution – Highlights of 100 Years of Biologics Regulation</w:t>
      </w:r>
      <w:r>
        <w:t xml:space="preserve">, </w:t>
      </w:r>
      <w:r w:rsidRPr="009828CD">
        <w:rPr>
          <w:smallCaps/>
        </w:rPr>
        <w:t>FDA Consumer Magazine</w:t>
      </w:r>
      <w:r>
        <w:t xml:space="preserve"> (Jan.-Feb. 2006), </w:t>
      </w:r>
      <w:r w:rsidRPr="009828CD">
        <w:t>www.fda.gov/files/about%20fda/published/The-Road-to-the-Biotech-Revolution--Highlights-of-100-Years-of-Biologics-Regulation.pdf</w:t>
      </w:r>
      <w:r>
        <w:t>.</w:t>
      </w:r>
    </w:p>
  </w:footnote>
  <w:footnote w:id="48">
    <w:p w14:paraId="7F010594" w14:textId="77777777" w:rsidR="001B2562" w:rsidRDefault="001B2562" w:rsidP="001B2562">
      <w:pPr>
        <w:pStyle w:val="FootnoteText"/>
      </w:pPr>
      <w:r>
        <w:rPr>
          <w:rStyle w:val="FootnoteReference"/>
        </w:rPr>
        <w:footnoteRef/>
      </w:r>
      <w:r>
        <w:t xml:space="preserve"> Linda Bren, U.S. Food &amp; Drug Admin., </w:t>
      </w:r>
      <w:r w:rsidRPr="009828CD">
        <w:rPr>
          <w:i/>
          <w:iCs/>
        </w:rPr>
        <w:t>The Road to the Biotech Revolution – Highlights of 100 Years of Biologics Regulation</w:t>
      </w:r>
      <w:r>
        <w:t xml:space="preserve">, </w:t>
      </w:r>
      <w:r w:rsidRPr="009828CD">
        <w:rPr>
          <w:smallCaps/>
        </w:rPr>
        <w:t>FDA Consumer Magazine</w:t>
      </w:r>
      <w:r>
        <w:t xml:space="preserve"> (Jan.-Feb. 2006), </w:t>
      </w:r>
      <w:r w:rsidRPr="009828CD">
        <w:t>www.fda.gov/files/about%20fda/published/The-Road-to-the-Biotech-Revolution--Highlights-of-100-Years-of-Biologics-Regulation.pdf</w:t>
      </w:r>
      <w:r>
        <w:t>.</w:t>
      </w:r>
    </w:p>
  </w:footnote>
  <w:footnote w:id="49">
    <w:p w14:paraId="65400DCD" w14:textId="77777777" w:rsidR="001B2562" w:rsidRDefault="001B2562" w:rsidP="001B2562">
      <w:pPr>
        <w:pStyle w:val="FootnoteText"/>
      </w:pPr>
      <w:r>
        <w:rPr>
          <w:rStyle w:val="FootnoteReference"/>
        </w:rPr>
        <w:footnoteRef/>
      </w:r>
      <w:r>
        <w:t xml:space="preserve"> Terry S. Coleman, </w:t>
      </w:r>
      <w:r w:rsidRPr="002D29B2">
        <w:rPr>
          <w:i/>
          <w:iCs/>
        </w:rPr>
        <w:t>Early Development in the Regulation of Biologics</w:t>
      </w:r>
      <w:r>
        <w:t xml:space="preserve">, 71 </w:t>
      </w:r>
      <w:r w:rsidRPr="002D29B2">
        <w:rPr>
          <w:smallCaps/>
        </w:rPr>
        <w:t>Food &amp; Drug L.J.</w:t>
      </w:r>
      <w:r>
        <w:t xml:space="preserve"> 544, 548 (2016).</w:t>
      </w:r>
    </w:p>
  </w:footnote>
  <w:footnote w:id="50">
    <w:p w14:paraId="655E683B" w14:textId="77777777" w:rsidR="001B2562" w:rsidRDefault="001B2562" w:rsidP="001B2562">
      <w:pPr>
        <w:pStyle w:val="FootnoteText"/>
      </w:pPr>
      <w:r>
        <w:rPr>
          <w:rStyle w:val="FootnoteReference"/>
        </w:rPr>
        <w:footnoteRef/>
      </w:r>
      <w:r>
        <w:t xml:space="preserve"> Ramunas A. </w:t>
      </w:r>
      <w:proofErr w:type="spellStart"/>
      <w:r>
        <w:t>Kondratas</w:t>
      </w:r>
      <w:proofErr w:type="spellEnd"/>
      <w:r>
        <w:t xml:space="preserve">, </w:t>
      </w:r>
      <w:r w:rsidRPr="00CC689E">
        <w:rPr>
          <w:i/>
          <w:iCs/>
        </w:rPr>
        <w:t>The Biologics Control Act of 1902</w:t>
      </w:r>
      <w:r>
        <w:t xml:space="preserve">, </w:t>
      </w:r>
      <w:r w:rsidRPr="00CC689E">
        <w:rPr>
          <w:i/>
          <w:iCs/>
        </w:rPr>
        <w:t>in</w:t>
      </w:r>
      <w:r>
        <w:t xml:space="preserve"> </w:t>
      </w:r>
      <w:r w:rsidRPr="00CC689E">
        <w:rPr>
          <w:smallCaps/>
        </w:rPr>
        <w:t>The Early Years of Federal Food and Drug Control</w:t>
      </w:r>
      <w:r>
        <w:t xml:space="preserve"> 15 (James Harvey Young ed., 1982).</w:t>
      </w:r>
    </w:p>
  </w:footnote>
  <w:footnote w:id="51">
    <w:p w14:paraId="71D19BD0" w14:textId="77777777" w:rsidR="001B2562" w:rsidRDefault="001B2562" w:rsidP="001B2562">
      <w:pPr>
        <w:pStyle w:val="FootnoteText"/>
      </w:pPr>
      <w:r>
        <w:rPr>
          <w:rStyle w:val="FootnoteReference"/>
        </w:rPr>
        <w:footnoteRef/>
      </w:r>
      <w:r>
        <w:t xml:space="preserve"> Ramunas A. </w:t>
      </w:r>
      <w:proofErr w:type="spellStart"/>
      <w:r>
        <w:t>Kondratas</w:t>
      </w:r>
      <w:proofErr w:type="spellEnd"/>
      <w:r>
        <w:t xml:space="preserve">, </w:t>
      </w:r>
      <w:r w:rsidRPr="00CC689E">
        <w:rPr>
          <w:i/>
          <w:iCs/>
        </w:rPr>
        <w:t>The Biologics Control Act of 1902</w:t>
      </w:r>
      <w:r>
        <w:t xml:space="preserve">, </w:t>
      </w:r>
      <w:r w:rsidRPr="00CC689E">
        <w:rPr>
          <w:i/>
          <w:iCs/>
        </w:rPr>
        <w:t>in</w:t>
      </w:r>
      <w:r>
        <w:t xml:space="preserve"> </w:t>
      </w:r>
      <w:r w:rsidRPr="00CC689E">
        <w:rPr>
          <w:smallCaps/>
        </w:rPr>
        <w:t>The Early Years of Federal Food and Drug Control</w:t>
      </w:r>
      <w:r>
        <w:t xml:space="preserve"> 15 (James Harvey Young ed., 1982).</w:t>
      </w:r>
    </w:p>
  </w:footnote>
  <w:footnote w:id="52">
    <w:p w14:paraId="745D1CA0" w14:textId="776E74BA" w:rsidR="005F7551" w:rsidRDefault="005F7551">
      <w:pPr>
        <w:pStyle w:val="FootnoteText"/>
      </w:pPr>
      <w:r>
        <w:rPr>
          <w:rStyle w:val="FootnoteReference"/>
        </w:rPr>
        <w:footnoteRef/>
      </w:r>
      <w:r>
        <w:t xml:space="preserve"> The St. Louis Republic, Oct. 31, 1901.</w:t>
      </w:r>
    </w:p>
  </w:footnote>
  <w:footnote w:id="53">
    <w:p w14:paraId="08D72051" w14:textId="11D23EDA" w:rsidR="005F7551" w:rsidRDefault="005F7551">
      <w:pPr>
        <w:pStyle w:val="FootnoteText"/>
      </w:pPr>
      <w:r>
        <w:rPr>
          <w:rStyle w:val="FootnoteReference"/>
        </w:rPr>
        <w:footnoteRef/>
      </w:r>
      <w:r>
        <w:t xml:space="preserve"> The St. Louis Republic, Oct. 31, 1901.</w:t>
      </w:r>
    </w:p>
  </w:footnote>
  <w:footnote w:id="54">
    <w:p w14:paraId="1153687C" w14:textId="77777777" w:rsidR="001B2562" w:rsidRDefault="001B2562" w:rsidP="001B2562">
      <w:pPr>
        <w:pStyle w:val="FootnoteText"/>
      </w:pPr>
      <w:r>
        <w:rPr>
          <w:rStyle w:val="FootnoteReference"/>
        </w:rPr>
        <w:footnoteRef/>
      </w:r>
      <w:r>
        <w:t xml:space="preserve"> Terry S. Coleman, </w:t>
      </w:r>
      <w:r w:rsidRPr="002D29B2">
        <w:rPr>
          <w:i/>
          <w:iCs/>
        </w:rPr>
        <w:t>Early Development in the Regulation of Biologics</w:t>
      </w:r>
      <w:r>
        <w:t xml:space="preserve">, 71 </w:t>
      </w:r>
      <w:r w:rsidRPr="002D29B2">
        <w:rPr>
          <w:smallCaps/>
        </w:rPr>
        <w:t>Food &amp; Drug L.J.</w:t>
      </w:r>
      <w:r>
        <w:t xml:space="preserve"> 544, 549 (2016); Linda Bren, U.S. Food &amp; Drug Admin., </w:t>
      </w:r>
      <w:r w:rsidRPr="009828CD">
        <w:rPr>
          <w:i/>
          <w:iCs/>
        </w:rPr>
        <w:t>The Road to the Biotech Revolution – Highlights of 100 Years of Biologics Regulation</w:t>
      </w:r>
      <w:r>
        <w:t xml:space="preserve">, </w:t>
      </w:r>
      <w:r w:rsidRPr="009828CD">
        <w:rPr>
          <w:smallCaps/>
        </w:rPr>
        <w:t>FDA Consumer Magazine</w:t>
      </w:r>
      <w:r>
        <w:t xml:space="preserve"> (Jan.-Feb. 2006), </w:t>
      </w:r>
      <w:hyperlink r:id="rId8" w:history="1">
        <w:r w:rsidRPr="003706A9">
          <w:rPr>
            <w:rStyle w:val="Hyperlink"/>
          </w:rPr>
          <w:t>www.fda.gov/files/about%20fda/published/The-Road-to-the-Biotech-Revolution--Highlights-of-100-Years-of-Biologics-Regulation.pdf</w:t>
        </w:r>
      </w:hyperlink>
      <w:r>
        <w:t>; ________, ________________.</w:t>
      </w:r>
    </w:p>
  </w:footnote>
  <w:footnote w:id="55">
    <w:p w14:paraId="47DC2281" w14:textId="09A84114" w:rsidR="001B2562" w:rsidRDefault="001B2562" w:rsidP="001B2562">
      <w:pPr>
        <w:pStyle w:val="FootnoteText"/>
      </w:pPr>
      <w:r>
        <w:rPr>
          <w:rStyle w:val="FootnoteReference"/>
        </w:rPr>
        <w:footnoteRef/>
      </w:r>
      <w:r>
        <w:t xml:space="preserve"> </w:t>
      </w:r>
      <w:r w:rsidR="005A1E0E">
        <w:t xml:space="preserve">Edmond Esquerre, Letter to the Editor, Safeguards in Virus and Antitoxins, New York Times, Nov. 24, 1901. </w:t>
      </w:r>
      <w:r w:rsidR="005A1E0E">
        <w:rPr>
          <w:i/>
          <w:iCs/>
        </w:rPr>
        <w:t xml:space="preserve">See also </w:t>
      </w:r>
      <w:r>
        <w:t xml:space="preserve">David E. Lilienfeld, </w:t>
      </w:r>
      <w:r w:rsidRPr="00B3679A">
        <w:rPr>
          <w:i/>
          <w:iCs/>
        </w:rPr>
        <w:t>The First Pharmacoepidemiologic Investigations: National Drug Safety Policy in the United States, 1901-1902</w:t>
      </w:r>
      <w:r>
        <w:t xml:space="preserve">, 51 </w:t>
      </w:r>
      <w:r w:rsidRPr="00B3679A">
        <w:rPr>
          <w:smallCaps/>
        </w:rPr>
        <w:t>Perspectives in Biology and Medicine</w:t>
      </w:r>
      <w:r>
        <w:t xml:space="preserve">, 188, 193 (2008); Ramunas A. </w:t>
      </w:r>
      <w:proofErr w:type="spellStart"/>
      <w:r>
        <w:t>Kondratas</w:t>
      </w:r>
      <w:proofErr w:type="spellEnd"/>
      <w:r>
        <w:t xml:space="preserve">, </w:t>
      </w:r>
      <w:r w:rsidRPr="00CC689E">
        <w:rPr>
          <w:i/>
          <w:iCs/>
        </w:rPr>
        <w:t>The Biologics Control Act of 1902</w:t>
      </w:r>
      <w:r>
        <w:t xml:space="preserve">, </w:t>
      </w:r>
      <w:r w:rsidRPr="00CC689E">
        <w:rPr>
          <w:i/>
          <w:iCs/>
        </w:rPr>
        <w:t>in</w:t>
      </w:r>
      <w:r>
        <w:t xml:space="preserve"> </w:t>
      </w:r>
      <w:r w:rsidRPr="00CC689E">
        <w:rPr>
          <w:smallCaps/>
        </w:rPr>
        <w:t>The Early Years of Federal Food and Drug Control</w:t>
      </w:r>
      <w:r>
        <w:t xml:space="preserve"> 14 (ed. James Harvey Young ed., 1982).</w:t>
      </w:r>
    </w:p>
  </w:footnote>
  <w:footnote w:id="56">
    <w:p w14:paraId="7326055B" w14:textId="4DB7635C" w:rsidR="0029610D" w:rsidRDefault="0029610D">
      <w:pPr>
        <w:pStyle w:val="FootnoteText"/>
      </w:pPr>
      <w:r>
        <w:rPr>
          <w:rStyle w:val="FootnoteReference"/>
        </w:rPr>
        <w:footnoteRef/>
      </w:r>
      <w:r>
        <w:t xml:space="preserve"> The St. Louis Republic, Nov. 5, 1901 (quoting city health commissioner Starkloff).</w:t>
      </w:r>
    </w:p>
  </w:footnote>
  <w:footnote w:id="57">
    <w:p w14:paraId="15D19D79" w14:textId="42581231" w:rsidR="0029610D" w:rsidRDefault="0029610D">
      <w:pPr>
        <w:pStyle w:val="FootnoteText"/>
      </w:pPr>
      <w:r>
        <w:rPr>
          <w:rStyle w:val="FootnoteReference"/>
        </w:rPr>
        <w:footnoteRef/>
      </w:r>
      <w:r>
        <w:t xml:space="preserve"> The St. Louis Republic, Nov. 5, 1901 (quoting city health commissioner Starkloff).</w:t>
      </w:r>
    </w:p>
  </w:footnote>
  <w:footnote w:id="58">
    <w:p w14:paraId="0EAAC051" w14:textId="62DED9CE" w:rsidR="00AB5C42" w:rsidRDefault="00AB5C42">
      <w:pPr>
        <w:pStyle w:val="FootnoteText"/>
      </w:pPr>
      <w:r>
        <w:rPr>
          <w:rStyle w:val="FootnoteReference"/>
        </w:rPr>
        <w:footnoteRef/>
      </w:r>
      <w:r>
        <w:t xml:space="preserve"> The St. Louis Republic, Nov. 8, 1901.</w:t>
      </w:r>
    </w:p>
  </w:footnote>
  <w:footnote w:id="59">
    <w:p w14:paraId="6C5A9D70" w14:textId="0C3FF640" w:rsidR="00AB5C42" w:rsidRDefault="00AB5C42">
      <w:pPr>
        <w:pStyle w:val="FootnoteText"/>
      </w:pPr>
      <w:r>
        <w:rPr>
          <w:rStyle w:val="FootnoteReference"/>
        </w:rPr>
        <w:footnoteRef/>
      </w:r>
      <w:r>
        <w:t xml:space="preserve"> The St. Louis Republic, Nov. 20, 1901.</w:t>
      </w:r>
    </w:p>
  </w:footnote>
  <w:footnote w:id="60">
    <w:p w14:paraId="690AB080" w14:textId="6D8E9AA5" w:rsidR="00C26381" w:rsidRDefault="00C26381">
      <w:pPr>
        <w:pStyle w:val="FootnoteText"/>
      </w:pPr>
      <w:r>
        <w:rPr>
          <w:rStyle w:val="FootnoteReference"/>
        </w:rPr>
        <w:footnoteRef/>
      </w:r>
      <w:r>
        <w:t xml:space="preserve"> The St. Louis Republic, Nov. 30, 1901.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27D7D"/>
    <w:multiLevelType w:val="hybridMultilevel"/>
    <w:tmpl w:val="DEC83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D61DA"/>
    <w:multiLevelType w:val="hybridMultilevel"/>
    <w:tmpl w:val="A044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409922">
    <w:abstractNumId w:val="1"/>
  </w:num>
  <w:num w:numId="2" w16cid:durableId="181325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0F"/>
    <w:rsid w:val="00043E85"/>
    <w:rsid w:val="0005347F"/>
    <w:rsid w:val="00075F0C"/>
    <w:rsid w:val="000A11C8"/>
    <w:rsid w:val="000D7344"/>
    <w:rsid w:val="000E0C5C"/>
    <w:rsid w:val="00135D06"/>
    <w:rsid w:val="00154B57"/>
    <w:rsid w:val="0017045E"/>
    <w:rsid w:val="00186FF3"/>
    <w:rsid w:val="00187CE1"/>
    <w:rsid w:val="00193A9A"/>
    <w:rsid w:val="001A01F1"/>
    <w:rsid w:val="001B2562"/>
    <w:rsid w:val="001C58EB"/>
    <w:rsid w:val="001F32DE"/>
    <w:rsid w:val="001F75F6"/>
    <w:rsid w:val="0024194A"/>
    <w:rsid w:val="00252EAA"/>
    <w:rsid w:val="002846B5"/>
    <w:rsid w:val="0029610D"/>
    <w:rsid w:val="002E2F43"/>
    <w:rsid w:val="0031171F"/>
    <w:rsid w:val="00323397"/>
    <w:rsid w:val="003826A0"/>
    <w:rsid w:val="00386545"/>
    <w:rsid w:val="003B1EEE"/>
    <w:rsid w:val="003B47E4"/>
    <w:rsid w:val="00427359"/>
    <w:rsid w:val="00440E06"/>
    <w:rsid w:val="004B0CF3"/>
    <w:rsid w:val="004C612A"/>
    <w:rsid w:val="004F7A7D"/>
    <w:rsid w:val="00506080"/>
    <w:rsid w:val="00543D0B"/>
    <w:rsid w:val="00544255"/>
    <w:rsid w:val="005A1E0E"/>
    <w:rsid w:val="005E2BA8"/>
    <w:rsid w:val="005F2283"/>
    <w:rsid w:val="005F7551"/>
    <w:rsid w:val="006026E7"/>
    <w:rsid w:val="006467BB"/>
    <w:rsid w:val="00675146"/>
    <w:rsid w:val="006E4757"/>
    <w:rsid w:val="00737C9D"/>
    <w:rsid w:val="00797B56"/>
    <w:rsid w:val="007A2331"/>
    <w:rsid w:val="007D5230"/>
    <w:rsid w:val="007E36CB"/>
    <w:rsid w:val="00840744"/>
    <w:rsid w:val="00862FE4"/>
    <w:rsid w:val="0089461B"/>
    <w:rsid w:val="00897E10"/>
    <w:rsid w:val="008D70CC"/>
    <w:rsid w:val="009958A8"/>
    <w:rsid w:val="009B521E"/>
    <w:rsid w:val="009E2A54"/>
    <w:rsid w:val="00A2078A"/>
    <w:rsid w:val="00A47293"/>
    <w:rsid w:val="00A475BE"/>
    <w:rsid w:val="00A63B94"/>
    <w:rsid w:val="00A778CC"/>
    <w:rsid w:val="00AA298E"/>
    <w:rsid w:val="00AB0C3F"/>
    <w:rsid w:val="00AB5C42"/>
    <w:rsid w:val="00B46FD0"/>
    <w:rsid w:val="00B50725"/>
    <w:rsid w:val="00BD3D95"/>
    <w:rsid w:val="00BE2E9E"/>
    <w:rsid w:val="00C26381"/>
    <w:rsid w:val="00C46BCE"/>
    <w:rsid w:val="00C7485B"/>
    <w:rsid w:val="00CB5A34"/>
    <w:rsid w:val="00CD635A"/>
    <w:rsid w:val="00D1795B"/>
    <w:rsid w:val="00D54CBD"/>
    <w:rsid w:val="00DA6F0F"/>
    <w:rsid w:val="00E5271C"/>
    <w:rsid w:val="00E54CE3"/>
    <w:rsid w:val="00E768DB"/>
    <w:rsid w:val="00F56464"/>
    <w:rsid w:val="00FC3A15"/>
    <w:rsid w:val="00FC67F6"/>
    <w:rsid w:val="00FE42FF"/>
    <w:rsid w:val="00FF696D"/>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19E4"/>
  <w15:chartTrackingRefBased/>
  <w15:docId w15:val="{59E4CBEB-082C-4DAB-8507-16CA2A1D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F1"/>
    <w:pPr>
      <w:spacing w:after="0"/>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DA6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F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F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6F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6F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6F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6F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6F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F0F"/>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DA6F0F"/>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DA6F0F"/>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A6F0F"/>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DA6F0F"/>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DA6F0F"/>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DA6F0F"/>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DA6F0F"/>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DA6F0F"/>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DA6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F0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A6F0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F0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A6F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6F0F"/>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DA6F0F"/>
    <w:pPr>
      <w:ind w:left="720"/>
      <w:contextualSpacing/>
    </w:pPr>
  </w:style>
  <w:style w:type="character" w:styleId="IntenseEmphasis">
    <w:name w:val="Intense Emphasis"/>
    <w:basedOn w:val="DefaultParagraphFont"/>
    <w:uiPriority w:val="21"/>
    <w:qFormat/>
    <w:rsid w:val="00DA6F0F"/>
    <w:rPr>
      <w:i/>
      <w:iCs/>
      <w:color w:val="0F4761" w:themeColor="accent1" w:themeShade="BF"/>
    </w:rPr>
  </w:style>
  <w:style w:type="paragraph" w:styleId="IntenseQuote">
    <w:name w:val="Intense Quote"/>
    <w:basedOn w:val="Normal"/>
    <w:next w:val="Normal"/>
    <w:link w:val="IntenseQuoteChar"/>
    <w:uiPriority w:val="30"/>
    <w:qFormat/>
    <w:rsid w:val="00DA6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F0F"/>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DA6F0F"/>
    <w:rPr>
      <w:b/>
      <w:bCs/>
      <w:smallCaps/>
      <w:color w:val="0F4761" w:themeColor="accent1" w:themeShade="BF"/>
      <w:spacing w:val="5"/>
    </w:rPr>
  </w:style>
  <w:style w:type="paragraph" w:styleId="FootnoteText">
    <w:name w:val="footnote text"/>
    <w:basedOn w:val="Normal"/>
    <w:link w:val="FootnoteTextChar"/>
    <w:uiPriority w:val="99"/>
    <w:semiHidden/>
    <w:unhideWhenUsed/>
    <w:rsid w:val="007D5230"/>
    <w:pPr>
      <w:spacing w:line="240" w:lineRule="auto"/>
    </w:pPr>
    <w:rPr>
      <w:sz w:val="20"/>
      <w:szCs w:val="20"/>
    </w:rPr>
  </w:style>
  <w:style w:type="character" w:customStyle="1" w:styleId="FootnoteTextChar">
    <w:name w:val="Footnote Text Char"/>
    <w:basedOn w:val="DefaultParagraphFont"/>
    <w:link w:val="FootnoteText"/>
    <w:uiPriority w:val="99"/>
    <w:semiHidden/>
    <w:rsid w:val="007D5230"/>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7D5230"/>
    <w:rPr>
      <w:vertAlign w:val="superscript"/>
    </w:rPr>
  </w:style>
  <w:style w:type="character" w:styleId="Hyperlink">
    <w:name w:val="Hyperlink"/>
    <w:basedOn w:val="DefaultParagraphFont"/>
    <w:uiPriority w:val="99"/>
    <w:unhideWhenUsed/>
    <w:rsid w:val="001B2562"/>
    <w:rPr>
      <w:color w:val="467886" w:themeColor="hyperlink"/>
      <w:u w:val="single"/>
    </w:rPr>
  </w:style>
  <w:style w:type="paragraph" w:styleId="Header">
    <w:name w:val="header"/>
    <w:basedOn w:val="Normal"/>
    <w:link w:val="HeaderChar"/>
    <w:uiPriority w:val="99"/>
    <w:unhideWhenUsed/>
    <w:rsid w:val="0017045E"/>
    <w:pPr>
      <w:tabs>
        <w:tab w:val="center" w:pos="4680"/>
        <w:tab w:val="right" w:pos="9360"/>
      </w:tabs>
      <w:spacing w:line="240" w:lineRule="auto"/>
    </w:pPr>
  </w:style>
  <w:style w:type="character" w:customStyle="1" w:styleId="HeaderChar">
    <w:name w:val="Header Char"/>
    <w:basedOn w:val="DefaultParagraphFont"/>
    <w:link w:val="Header"/>
    <w:uiPriority w:val="99"/>
    <w:rsid w:val="0017045E"/>
    <w:rPr>
      <w:rFonts w:ascii="Times New Roman" w:hAnsi="Times New Roman"/>
      <w:kern w:val="0"/>
      <w:sz w:val="24"/>
      <w14:ligatures w14:val="none"/>
    </w:rPr>
  </w:style>
  <w:style w:type="paragraph" w:styleId="Footer">
    <w:name w:val="footer"/>
    <w:basedOn w:val="Normal"/>
    <w:link w:val="FooterChar"/>
    <w:uiPriority w:val="99"/>
    <w:unhideWhenUsed/>
    <w:rsid w:val="0017045E"/>
    <w:pPr>
      <w:tabs>
        <w:tab w:val="center" w:pos="4680"/>
        <w:tab w:val="right" w:pos="9360"/>
      </w:tabs>
      <w:spacing w:line="240" w:lineRule="auto"/>
    </w:pPr>
  </w:style>
  <w:style w:type="character" w:customStyle="1" w:styleId="FooterChar">
    <w:name w:val="Footer Char"/>
    <w:basedOn w:val="DefaultParagraphFont"/>
    <w:link w:val="Footer"/>
    <w:uiPriority w:val="99"/>
    <w:rsid w:val="0017045E"/>
    <w:rPr>
      <w:rFonts w:ascii="Times New Roman" w:hAnsi="Times New Roman"/>
      <w:kern w:val="0"/>
      <w:sz w:val="24"/>
      <w14:ligatures w14:val="none"/>
    </w:rPr>
  </w:style>
  <w:style w:type="character" w:styleId="UnresolvedMention">
    <w:name w:val="Unresolved Mention"/>
    <w:basedOn w:val="DefaultParagraphFont"/>
    <w:uiPriority w:val="99"/>
    <w:semiHidden/>
    <w:unhideWhenUsed/>
    <w:rsid w:val="00284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da.gov/files/about%20fda/published/The-Road-to-the-Biotech-Revolution--Highlights-of-100-Years-of-Biologics-Regulation.pdf" TargetMode="External"/><Relationship Id="rId3" Type="http://schemas.openxmlformats.org/officeDocument/2006/relationships/hyperlink" Target="https://doi.org/10.1128/mBio.00117-17" TargetMode="External"/><Relationship Id="rId7" Type="http://schemas.openxmlformats.org/officeDocument/2006/relationships/hyperlink" Target="https://archive.org/stream/annualreporthea00unkngoog/annualreporthea00unkngoog_djvu.txt" TargetMode="External"/><Relationship Id="rId2" Type="http://schemas.openxmlformats.org/officeDocument/2006/relationships/hyperlink" Target="https://doi.org/10.1128/mBio.00117-17" TargetMode="External"/><Relationship Id="rId1" Type="http://schemas.openxmlformats.org/officeDocument/2006/relationships/hyperlink" Target="https://www.ebsco.com/research-starters/history/behring-discovers-diphtheria-antitoxin" TargetMode="External"/><Relationship Id="rId6" Type="http://schemas.openxmlformats.org/officeDocument/2006/relationships/hyperlink" Target="https://doi.org/10.1128/mBio.00117-17" TargetMode="External"/><Relationship Id="rId5" Type="http://schemas.openxmlformats.org/officeDocument/2006/relationships/hyperlink" Target="https://babel.hathitrust.org/cgi/pt?id=hvd.hx3u78&amp;seq=2" TargetMode="External"/><Relationship Id="rId4" Type="http://schemas.openxmlformats.org/officeDocument/2006/relationships/hyperlink" Target="https://doi.org/10.1128/mBio.0011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C294-81AD-4851-BA98-454BF87D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Horvath</dc:creator>
  <cp:keywords/>
  <dc:description/>
  <cp:lastModifiedBy>George Horvath</cp:lastModifiedBy>
  <cp:revision>2</cp:revision>
  <dcterms:created xsi:type="dcterms:W3CDTF">2026-05-28T19:37:00Z</dcterms:created>
  <dcterms:modified xsi:type="dcterms:W3CDTF">2026-05-28T19:37:00Z</dcterms:modified>
</cp:coreProperties>
</file>